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rPr>
          <w:rFonts w:hint="eastAsia"/>
          <w:sz w:val="32"/>
          <w:szCs w:val="32"/>
        </w:rPr>
      </w:pPr>
    </w:p>
    <w:p>
      <w:pPr>
        <w:widowControl/>
        <w:jc w:val="center"/>
        <w:rPr>
          <w:sz w:val="84"/>
          <w:szCs w:val="84"/>
        </w:rPr>
      </w:pP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rPr>
        <w:t>2023年度</w:t>
      </w:r>
    </w:p>
    <w:p>
      <w:pPr>
        <w:widowControl/>
        <w:jc w:val="center"/>
        <w:rPr>
          <w:rFonts w:asciiTheme="minorEastAsia" w:hAnsiTheme="minorEastAsia"/>
          <w:sz w:val="84"/>
          <w:szCs w:val="84"/>
        </w:rPr>
      </w:pPr>
      <w:r>
        <w:rPr>
          <w:rFonts w:hint="eastAsia" w:asciiTheme="minorEastAsia" w:hAnsiTheme="minorEastAsia"/>
          <w:sz w:val="84"/>
          <w:szCs w:val="84"/>
        </w:rPr>
        <w:t>福建省中医药科学院</w:t>
      </w:r>
    </w:p>
    <w:p>
      <w:pPr>
        <w:widowControl/>
        <w:jc w:val="center"/>
        <w:rPr>
          <w:rFonts w:ascii="方正小标宋简体" w:eastAsia="方正小标宋简体"/>
          <w:sz w:val="84"/>
          <w:szCs w:val="84"/>
        </w:rPr>
      </w:pPr>
      <w:r>
        <w:rPr>
          <w:rFonts w:hint="eastAsia" w:ascii="方正小标宋简体" w:eastAsia="方正小标宋简体"/>
          <w:sz w:val="84"/>
          <w:szCs w:val="84"/>
        </w:rPr>
        <w:t>部门预算</w:t>
      </w:r>
    </w:p>
    <w:p>
      <w:pPr>
        <w:widowControl/>
        <w:rPr>
          <w:sz w:val="84"/>
          <w:szCs w:val="84"/>
        </w:rPr>
      </w:pPr>
      <w:r>
        <w:rPr>
          <w:sz w:val="84"/>
          <w:szCs w:val="84"/>
        </w:rPr>
        <w:br w:type="page"/>
      </w:r>
    </w:p>
    <w:sdt>
      <w:sdtPr>
        <w:rPr>
          <w:rFonts w:asciiTheme="minorHAnsi" w:hAnsiTheme="minorHAnsi" w:eastAsiaTheme="minorEastAsia" w:cstheme="minorBidi"/>
          <w:kern w:val="2"/>
          <w:sz w:val="21"/>
          <w:szCs w:val="22"/>
          <w:lang w:val="zh-CN"/>
        </w:rPr>
        <w:id w:val="-93483741"/>
        <w:docPartObj>
          <w:docPartGallery w:val="Table of Contents"/>
          <w:docPartUnique/>
        </w:docPartObj>
      </w:sdtPr>
      <w:sdtEndPr>
        <w:rPr>
          <w:rFonts w:asciiTheme="minorHAnsi" w:hAnsiTheme="minorHAnsi" w:eastAsiaTheme="minorEastAsia" w:cstheme="minorBidi"/>
          <w:b/>
          <w:bCs/>
          <w:kern w:val="2"/>
          <w:sz w:val="21"/>
          <w:szCs w:val="22"/>
          <w:lang w:val="zh-CN"/>
        </w:rPr>
      </w:sdtEndPr>
      <w:sdtContent>
        <w:p>
          <w:pPr>
            <w:pStyle w:val="22"/>
          </w:pPr>
          <w:bookmarkStart w:id="26" w:name="_GoBack"/>
          <w:bookmarkEnd w:id="26"/>
          <w:r>
            <w:rPr>
              <w:lang w:val="zh-CN"/>
            </w:rPr>
            <w:t>目</w:t>
          </w:r>
          <w:r>
            <w:rPr>
              <w:rFonts w:hint="eastAsia"/>
              <w:lang w:val="zh-CN"/>
            </w:rPr>
            <w:t xml:space="preserve"> </w:t>
          </w:r>
          <w:r>
            <w:rPr>
              <w:lang w:val="zh-CN"/>
            </w:rPr>
            <w:t>录</w:t>
          </w:r>
        </w:p>
        <w:p>
          <w:pPr>
            <w:pStyle w:val="8"/>
            <w:tabs>
              <w:tab w:val="right" w:leader="dot" w:pos="8296"/>
            </w:tabs>
            <w:rPr>
              <w:rFonts w:asciiTheme="minorHAnsi" w:hAnsiTheme="minorHAnsi" w:eastAsiaTheme="minorEastAsia" w:cstheme="minorBidi"/>
              <w:b w:val="0"/>
              <w:kern w:val="2"/>
              <w:sz w:val="21"/>
              <w:szCs w:val="22"/>
            </w:rPr>
          </w:pPr>
          <w:r>
            <w:fldChar w:fldCharType="begin"/>
          </w:r>
          <w:r>
            <w:instrText xml:space="preserve"> TOC \o "1-3" \h \z \u </w:instrText>
          </w:r>
          <w:r>
            <w:fldChar w:fldCharType="separate"/>
          </w:r>
          <w:r>
            <w:fldChar w:fldCharType="begin"/>
          </w:r>
          <w:r>
            <w:instrText xml:space="preserve"> HYPERLINK \l "_Toc128561182" </w:instrText>
          </w:r>
          <w:r>
            <w:fldChar w:fldCharType="separate"/>
          </w:r>
          <w:r>
            <w:rPr>
              <w:rStyle w:val="12"/>
              <w:rFonts w:hint="eastAsia"/>
            </w:rPr>
            <w:t>第一部分</w:t>
          </w:r>
          <w:r>
            <w:rPr>
              <w:rStyle w:val="12"/>
            </w:rPr>
            <w:t xml:space="preserve">  </w:t>
          </w:r>
          <w:r>
            <w:rPr>
              <w:rStyle w:val="12"/>
              <w:rFonts w:hint="eastAsia"/>
            </w:rPr>
            <w:t>部门概况</w:t>
          </w:r>
          <w:r>
            <w:tab/>
          </w:r>
          <w:r>
            <w:fldChar w:fldCharType="begin"/>
          </w:r>
          <w:r>
            <w:instrText xml:space="preserve"> PAGEREF _Toc128561182 \h </w:instrText>
          </w:r>
          <w:r>
            <w:fldChar w:fldCharType="separate"/>
          </w:r>
          <w:r>
            <w:t>1</w:t>
          </w:r>
          <w:r>
            <w:fldChar w:fldCharType="end"/>
          </w:r>
          <w:r>
            <w:fldChar w:fldCharType="end"/>
          </w:r>
        </w:p>
        <w:p>
          <w:pPr>
            <w:pStyle w:val="9"/>
            <w:tabs>
              <w:tab w:val="right" w:leader="dot" w:pos="8296"/>
            </w:tabs>
            <w:rPr>
              <w:rFonts w:asciiTheme="minorHAnsi" w:hAnsiTheme="minorHAnsi" w:eastAsiaTheme="minorEastAsia" w:cstheme="minorBidi"/>
              <w:kern w:val="2"/>
              <w:sz w:val="21"/>
              <w:szCs w:val="22"/>
            </w:rPr>
          </w:pPr>
          <w:r>
            <w:fldChar w:fldCharType="begin"/>
          </w:r>
          <w:r>
            <w:instrText xml:space="preserve"> HYPERLINK \l "_Toc128561183" </w:instrText>
          </w:r>
          <w:r>
            <w:fldChar w:fldCharType="separate"/>
          </w:r>
          <w:r>
            <w:rPr>
              <w:rStyle w:val="12"/>
              <w:rFonts w:hint="eastAsia"/>
            </w:rPr>
            <w:t>一、部门主要职责</w:t>
          </w:r>
          <w:r>
            <w:tab/>
          </w:r>
          <w:r>
            <w:fldChar w:fldCharType="begin"/>
          </w:r>
          <w:r>
            <w:instrText xml:space="preserve"> PAGEREF _Toc128561183 \h </w:instrText>
          </w:r>
          <w:r>
            <w:fldChar w:fldCharType="separate"/>
          </w:r>
          <w:r>
            <w:t>2</w:t>
          </w:r>
          <w:r>
            <w:fldChar w:fldCharType="end"/>
          </w:r>
          <w:r>
            <w:fldChar w:fldCharType="end"/>
          </w:r>
        </w:p>
        <w:p>
          <w:pPr>
            <w:pStyle w:val="9"/>
            <w:tabs>
              <w:tab w:val="right" w:leader="dot" w:pos="8296"/>
            </w:tabs>
            <w:rPr>
              <w:rFonts w:asciiTheme="minorHAnsi" w:hAnsiTheme="minorHAnsi" w:eastAsiaTheme="minorEastAsia" w:cstheme="minorBidi"/>
              <w:kern w:val="2"/>
              <w:sz w:val="21"/>
              <w:szCs w:val="22"/>
            </w:rPr>
          </w:pPr>
          <w:r>
            <w:fldChar w:fldCharType="begin"/>
          </w:r>
          <w:r>
            <w:instrText xml:space="preserve"> HYPERLINK \l "_Toc128561184" </w:instrText>
          </w:r>
          <w:r>
            <w:fldChar w:fldCharType="separate"/>
          </w:r>
          <w:r>
            <w:rPr>
              <w:rStyle w:val="12"/>
              <w:rFonts w:hint="eastAsia"/>
            </w:rPr>
            <w:t>二、部门预算单位构成</w:t>
          </w:r>
          <w:r>
            <w:tab/>
          </w:r>
          <w:r>
            <w:fldChar w:fldCharType="begin"/>
          </w:r>
          <w:r>
            <w:instrText xml:space="preserve"> PAGEREF _Toc128561184 \h </w:instrText>
          </w:r>
          <w:r>
            <w:fldChar w:fldCharType="separate"/>
          </w:r>
          <w:r>
            <w:t>2</w:t>
          </w:r>
          <w:r>
            <w:fldChar w:fldCharType="end"/>
          </w:r>
          <w:r>
            <w:fldChar w:fldCharType="end"/>
          </w:r>
        </w:p>
        <w:p>
          <w:pPr>
            <w:pStyle w:val="9"/>
            <w:tabs>
              <w:tab w:val="right" w:leader="dot" w:pos="8296"/>
            </w:tabs>
            <w:rPr>
              <w:rFonts w:asciiTheme="minorHAnsi" w:hAnsiTheme="minorHAnsi" w:eastAsiaTheme="minorEastAsia" w:cstheme="minorBidi"/>
              <w:kern w:val="2"/>
              <w:sz w:val="21"/>
              <w:szCs w:val="22"/>
            </w:rPr>
          </w:pPr>
          <w:r>
            <w:fldChar w:fldCharType="begin"/>
          </w:r>
          <w:r>
            <w:instrText xml:space="preserve"> HYPERLINK \l "_Toc128561185" </w:instrText>
          </w:r>
          <w:r>
            <w:fldChar w:fldCharType="separate"/>
          </w:r>
          <w:r>
            <w:rPr>
              <w:rStyle w:val="12"/>
              <w:rFonts w:hint="eastAsia"/>
            </w:rPr>
            <w:t>三、部门主要工作任务</w:t>
          </w:r>
          <w:r>
            <w:tab/>
          </w:r>
          <w:r>
            <w:fldChar w:fldCharType="begin"/>
          </w:r>
          <w:r>
            <w:instrText xml:space="preserve"> PAGEREF _Toc128561185 \h </w:instrText>
          </w:r>
          <w:r>
            <w:fldChar w:fldCharType="separate"/>
          </w:r>
          <w:r>
            <w:t>3</w:t>
          </w:r>
          <w:r>
            <w:fldChar w:fldCharType="end"/>
          </w:r>
          <w:r>
            <w:fldChar w:fldCharType="end"/>
          </w:r>
        </w:p>
        <w:p>
          <w:pPr>
            <w:pStyle w:val="8"/>
            <w:tabs>
              <w:tab w:val="right" w:leader="dot" w:pos="8296"/>
            </w:tabs>
            <w:rPr>
              <w:rFonts w:asciiTheme="minorHAnsi" w:hAnsiTheme="minorHAnsi" w:eastAsiaTheme="minorEastAsia" w:cstheme="minorBidi"/>
              <w:b w:val="0"/>
              <w:kern w:val="2"/>
              <w:sz w:val="21"/>
              <w:szCs w:val="22"/>
            </w:rPr>
          </w:pPr>
          <w:r>
            <w:fldChar w:fldCharType="begin"/>
          </w:r>
          <w:r>
            <w:instrText xml:space="preserve"> HYPERLINK \l "_Toc128561186" </w:instrText>
          </w:r>
          <w:r>
            <w:fldChar w:fldCharType="separate"/>
          </w:r>
          <w:r>
            <w:rPr>
              <w:rStyle w:val="12"/>
              <w:rFonts w:hint="eastAsia"/>
            </w:rPr>
            <w:t>第二部分</w:t>
          </w:r>
          <w:r>
            <w:rPr>
              <w:rStyle w:val="12"/>
            </w:rPr>
            <w:t xml:space="preserve">  2023</w:t>
          </w:r>
          <w:r>
            <w:rPr>
              <w:rStyle w:val="12"/>
              <w:rFonts w:hint="eastAsia"/>
            </w:rPr>
            <w:t>年度部门预算表</w:t>
          </w:r>
          <w:r>
            <w:tab/>
          </w:r>
          <w:r>
            <w:fldChar w:fldCharType="begin"/>
          </w:r>
          <w:r>
            <w:instrText xml:space="preserve"> PAGEREF _Toc128561186 \h </w:instrText>
          </w:r>
          <w:r>
            <w:fldChar w:fldCharType="separate"/>
          </w:r>
          <w:r>
            <w:t>5</w:t>
          </w:r>
          <w:r>
            <w:fldChar w:fldCharType="end"/>
          </w:r>
          <w:r>
            <w:fldChar w:fldCharType="end"/>
          </w:r>
        </w:p>
        <w:p>
          <w:pPr>
            <w:pStyle w:val="9"/>
            <w:tabs>
              <w:tab w:val="right" w:leader="dot" w:pos="8296"/>
            </w:tabs>
            <w:rPr>
              <w:rFonts w:asciiTheme="minorHAnsi" w:hAnsiTheme="minorHAnsi" w:eastAsiaTheme="minorEastAsia" w:cstheme="minorBidi"/>
              <w:kern w:val="2"/>
              <w:sz w:val="21"/>
              <w:szCs w:val="22"/>
            </w:rPr>
          </w:pPr>
          <w:r>
            <w:fldChar w:fldCharType="begin"/>
          </w:r>
          <w:r>
            <w:instrText xml:space="preserve"> HYPERLINK \l "_Toc128561187" </w:instrText>
          </w:r>
          <w:r>
            <w:fldChar w:fldCharType="separate"/>
          </w:r>
          <w:r>
            <w:rPr>
              <w:rStyle w:val="12"/>
              <w:rFonts w:hint="eastAsia"/>
            </w:rPr>
            <w:t>一、收支预算总表</w:t>
          </w:r>
          <w:r>
            <w:tab/>
          </w:r>
          <w:r>
            <w:fldChar w:fldCharType="begin"/>
          </w:r>
          <w:r>
            <w:instrText xml:space="preserve"> PAGEREF _Toc128561187 \h </w:instrText>
          </w:r>
          <w:r>
            <w:fldChar w:fldCharType="separate"/>
          </w:r>
          <w:r>
            <w:t>6</w:t>
          </w:r>
          <w:r>
            <w:fldChar w:fldCharType="end"/>
          </w:r>
          <w:r>
            <w:fldChar w:fldCharType="end"/>
          </w:r>
        </w:p>
        <w:p>
          <w:pPr>
            <w:pStyle w:val="9"/>
            <w:tabs>
              <w:tab w:val="right" w:leader="dot" w:pos="8296"/>
            </w:tabs>
            <w:rPr>
              <w:rFonts w:asciiTheme="minorHAnsi" w:hAnsiTheme="minorHAnsi" w:eastAsiaTheme="minorEastAsia" w:cstheme="minorBidi"/>
              <w:kern w:val="2"/>
              <w:sz w:val="21"/>
              <w:szCs w:val="22"/>
            </w:rPr>
          </w:pPr>
          <w:r>
            <w:fldChar w:fldCharType="begin"/>
          </w:r>
          <w:r>
            <w:instrText xml:space="preserve"> HYPERLINK \l "_Toc128561188" </w:instrText>
          </w:r>
          <w:r>
            <w:fldChar w:fldCharType="separate"/>
          </w:r>
          <w:r>
            <w:rPr>
              <w:rStyle w:val="12"/>
              <w:rFonts w:hint="eastAsia"/>
            </w:rPr>
            <w:t>二、收入预算总表</w:t>
          </w:r>
          <w:r>
            <w:tab/>
          </w:r>
          <w:r>
            <w:fldChar w:fldCharType="begin"/>
          </w:r>
          <w:r>
            <w:instrText xml:space="preserve"> PAGEREF _Toc128561188 \h </w:instrText>
          </w:r>
          <w:r>
            <w:fldChar w:fldCharType="separate"/>
          </w:r>
          <w:r>
            <w:t>7</w:t>
          </w:r>
          <w:r>
            <w:fldChar w:fldCharType="end"/>
          </w:r>
          <w:r>
            <w:fldChar w:fldCharType="end"/>
          </w:r>
        </w:p>
        <w:p>
          <w:pPr>
            <w:pStyle w:val="9"/>
            <w:tabs>
              <w:tab w:val="right" w:leader="dot" w:pos="8296"/>
            </w:tabs>
            <w:rPr>
              <w:rFonts w:asciiTheme="minorHAnsi" w:hAnsiTheme="minorHAnsi" w:eastAsiaTheme="minorEastAsia" w:cstheme="minorBidi"/>
              <w:kern w:val="2"/>
              <w:sz w:val="21"/>
              <w:szCs w:val="22"/>
            </w:rPr>
          </w:pPr>
          <w:r>
            <w:fldChar w:fldCharType="begin"/>
          </w:r>
          <w:r>
            <w:instrText xml:space="preserve"> HYPERLINK \l "_Toc128561189" </w:instrText>
          </w:r>
          <w:r>
            <w:fldChar w:fldCharType="separate"/>
          </w:r>
          <w:r>
            <w:rPr>
              <w:rStyle w:val="12"/>
              <w:rFonts w:hint="eastAsia"/>
            </w:rPr>
            <w:t>三、支出预算总表</w:t>
          </w:r>
          <w:r>
            <w:tab/>
          </w:r>
          <w:r>
            <w:fldChar w:fldCharType="begin"/>
          </w:r>
          <w:r>
            <w:instrText xml:space="preserve"> PAGEREF _Toc128561189 \h </w:instrText>
          </w:r>
          <w:r>
            <w:fldChar w:fldCharType="separate"/>
          </w:r>
          <w:r>
            <w:t>10</w:t>
          </w:r>
          <w:r>
            <w:fldChar w:fldCharType="end"/>
          </w:r>
          <w:r>
            <w:fldChar w:fldCharType="end"/>
          </w:r>
        </w:p>
        <w:p>
          <w:pPr>
            <w:pStyle w:val="9"/>
            <w:tabs>
              <w:tab w:val="right" w:leader="dot" w:pos="8296"/>
            </w:tabs>
            <w:rPr>
              <w:rFonts w:asciiTheme="minorHAnsi" w:hAnsiTheme="minorHAnsi" w:eastAsiaTheme="minorEastAsia" w:cstheme="minorBidi"/>
              <w:kern w:val="2"/>
              <w:sz w:val="21"/>
              <w:szCs w:val="22"/>
            </w:rPr>
          </w:pPr>
          <w:r>
            <w:fldChar w:fldCharType="begin"/>
          </w:r>
          <w:r>
            <w:instrText xml:space="preserve"> HYPERLINK \l "_Toc128561190" </w:instrText>
          </w:r>
          <w:r>
            <w:fldChar w:fldCharType="separate"/>
          </w:r>
          <w:r>
            <w:rPr>
              <w:rStyle w:val="12"/>
              <w:rFonts w:hint="eastAsia"/>
            </w:rPr>
            <w:t>四、财政拨款收支预算总表</w:t>
          </w:r>
          <w:r>
            <w:tab/>
          </w:r>
          <w:r>
            <w:fldChar w:fldCharType="begin"/>
          </w:r>
          <w:r>
            <w:instrText xml:space="preserve"> PAGEREF _Toc128561190 \h </w:instrText>
          </w:r>
          <w:r>
            <w:fldChar w:fldCharType="separate"/>
          </w:r>
          <w:r>
            <w:t>12</w:t>
          </w:r>
          <w:r>
            <w:fldChar w:fldCharType="end"/>
          </w:r>
          <w:r>
            <w:fldChar w:fldCharType="end"/>
          </w:r>
        </w:p>
        <w:p>
          <w:pPr>
            <w:pStyle w:val="9"/>
            <w:tabs>
              <w:tab w:val="right" w:leader="dot" w:pos="8296"/>
            </w:tabs>
            <w:rPr>
              <w:rFonts w:asciiTheme="minorHAnsi" w:hAnsiTheme="minorHAnsi" w:eastAsiaTheme="minorEastAsia" w:cstheme="minorBidi"/>
              <w:kern w:val="2"/>
              <w:sz w:val="21"/>
              <w:szCs w:val="22"/>
            </w:rPr>
          </w:pPr>
          <w:r>
            <w:fldChar w:fldCharType="begin"/>
          </w:r>
          <w:r>
            <w:instrText xml:space="preserve"> HYPERLINK \l "_Toc128561191" </w:instrText>
          </w:r>
          <w:r>
            <w:fldChar w:fldCharType="separate"/>
          </w:r>
          <w:r>
            <w:rPr>
              <w:rStyle w:val="12"/>
              <w:rFonts w:hint="eastAsia"/>
            </w:rPr>
            <w:t>五、一般公共预算拨款支出预算表</w:t>
          </w:r>
          <w:r>
            <w:tab/>
          </w:r>
          <w:r>
            <w:fldChar w:fldCharType="begin"/>
          </w:r>
          <w:r>
            <w:instrText xml:space="preserve"> PAGEREF _Toc128561191 \h </w:instrText>
          </w:r>
          <w:r>
            <w:fldChar w:fldCharType="separate"/>
          </w:r>
          <w:r>
            <w:t>13</w:t>
          </w:r>
          <w:r>
            <w:fldChar w:fldCharType="end"/>
          </w:r>
          <w:r>
            <w:fldChar w:fldCharType="end"/>
          </w:r>
        </w:p>
        <w:p>
          <w:pPr>
            <w:pStyle w:val="9"/>
            <w:tabs>
              <w:tab w:val="right" w:leader="dot" w:pos="8296"/>
            </w:tabs>
            <w:rPr>
              <w:rFonts w:asciiTheme="minorHAnsi" w:hAnsiTheme="minorHAnsi" w:eastAsiaTheme="minorEastAsia" w:cstheme="minorBidi"/>
              <w:kern w:val="2"/>
              <w:sz w:val="21"/>
              <w:szCs w:val="22"/>
            </w:rPr>
          </w:pPr>
          <w:r>
            <w:fldChar w:fldCharType="begin"/>
          </w:r>
          <w:r>
            <w:instrText xml:space="preserve"> HYPERLINK \l "_Toc128561192" </w:instrText>
          </w:r>
          <w:r>
            <w:fldChar w:fldCharType="separate"/>
          </w:r>
          <w:r>
            <w:rPr>
              <w:rStyle w:val="12"/>
              <w:rFonts w:hint="eastAsia"/>
            </w:rPr>
            <w:t>六、政府性基金预算拨款支出预算表</w:t>
          </w:r>
          <w:r>
            <w:tab/>
          </w:r>
          <w:r>
            <w:fldChar w:fldCharType="begin"/>
          </w:r>
          <w:r>
            <w:instrText xml:space="preserve"> PAGEREF _Toc128561192 \h </w:instrText>
          </w:r>
          <w:r>
            <w:fldChar w:fldCharType="separate"/>
          </w:r>
          <w:r>
            <w:t>14</w:t>
          </w:r>
          <w:r>
            <w:fldChar w:fldCharType="end"/>
          </w:r>
          <w:r>
            <w:fldChar w:fldCharType="end"/>
          </w:r>
        </w:p>
        <w:p>
          <w:pPr>
            <w:pStyle w:val="9"/>
            <w:tabs>
              <w:tab w:val="right" w:leader="dot" w:pos="8296"/>
            </w:tabs>
            <w:rPr>
              <w:rFonts w:asciiTheme="minorHAnsi" w:hAnsiTheme="minorHAnsi" w:eastAsiaTheme="minorEastAsia" w:cstheme="minorBidi"/>
              <w:kern w:val="2"/>
              <w:sz w:val="21"/>
              <w:szCs w:val="22"/>
            </w:rPr>
          </w:pPr>
          <w:r>
            <w:fldChar w:fldCharType="begin"/>
          </w:r>
          <w:r>
            <w:instrText xml:space="preserve"> HYPERLINK \l "_Toc128561193" </w:instrText>
          </w:r>
          <w:r>
            <w:fldChar w:fldCharType="separate"/>
          </w:r>
          <w:r>
            <w:rPr>
              <w:rStyle w:val="12"/>
              <w:rFonts w:hint="eastAsia"/>
            </w:rPr>
            <w:t>七、国有资本经营预算拨款支出预算表</w:t>
          </w:r>
          <w:r>
            <w:tab/>
          </w:r>
          <w:r>
            <w:fldChar w:fldCharType="begin"/>
          </w:r>
          <w:r>
            <w:instrText xml:space="preserve"> PAGEREF _Toc128561193 \h </w:instrText>
          </w:r>
          <w:r>
            <w:fldChar w:fldCharType="separate"/>
          </w:r>
          <w:r>
            <w:t>15</w:t>
          </w:r>
          <w:r>
            <w:fldChar w:fldCharType="end"/>
          </w:r>
          <w:r>
            <w:fldChar w:fldCharType="end"/>
          </w:r>
        </w:p>
        <w:p>
          <w:pPr>
            <w:pStyle w:val="9"/>
            <w:tabs>
              <w:tab w:val="right" w:leader="dot" w:pos="8296"/>
            </w:tabs>
            <w:rPr>
              <w:rFonts w:asciiTheme="minorHAnsi" w:hAnsiTheme="minorHAnsi" w:eastAsiaTheme="minorEastAsia" w:cstheme="minorBidi"/>
              <w:kern w:val="2"/>
              <w:sz w:val="21"/>
              <w:szCs w:val="22"/>
            </w:rPr>
          </w:pPr>
          <w:r>
            <w:fldChar w:fldCharType="begin"/>
          </w:r>
          <w:r>
            <w:instrText xml:space="preserve"> HYPERLINK \l "_Toc128561194" </w:instrText>
          </w:r>
          <w:r>
            <w:fldChar w:fldCharType="separate"/>
          </w:r>
          <w:r>
            <w:rPr>
              <w:rStyle w:val="12"/>
              <w:rFonts w:hint="eastAsia"/>
            </w:rPr>
            <w:t>八、一般公共预算支出经济分类情况表</w:t>
          </w:r>
          <w:r>
            <w:tab/>
          </w:r>
          <w:r>
            <w:fldChar w:fldCharType="begin"/>
          </w:r>
          <w:r>
            <w:instrText xml:space="preserve"> PAGEREF _Toc128561194 \h </w:instrText>
          </w:r>
          <w:r>
            <w:fldChar w:fldCharType="separate"/>
          </w:r>
          <w:r>
            <w:t>16</w:t>
          </w:r>
          <w:r>
            <w:fldChar w:fldCharType="end"/>
          </w:r>
          <w:r>
            <w:fldChar w:fldCharType="end"/>
          </w:r>
        </w:p>
        <w:p>
          <w:pPr>
            <w:pStyle w:val="9"/>
            <w:tabs>
              <w:tab w:val="right" w:leader="dot" w:pos="8296"/>
            </w:tabs>
            <w:rPr>
              <w:rFonts w:asciiTheme="minorHAnsi" w:hAnsiTheme="minorHAnsi" w:eastAsiaTheme="minorEastAsia" w:cstheme="minorBidi"/>
              <w:kern w:val="2"/>
              <w:sz w:val="21"/>
              <w:szCs w:val="22"/>
            </w:rPr>
          </w:pPr>
          <w:r>
            <w:fldChar w:fldCharType="begin"/>
          </w:r>
          <w:r>
            <w:instrText xml:space="preserve"> HYPERLINK \l "_Toc128561195" </w:instrText>
          </w:r>
          <w:r>
            <w:fldChar w:fldCharType="separate"/>
          </w:r>
          <w:r>
            <w:rPr>
              <w:rStyle w:val="12"/>
              <w:rFonts w:hint="eastAsia"/>
            </w:rPr>
            <w:t>九、一般公共预算基本支出经济分类情况表</w:t>
          </w:r>
          <w:r>
            <w:tab/>
          </w:r>
          <w:r>
            <w:fldChar w:fldCharType="begin"/>
          </w:r>
          <w:r>
            <w:instrText xml:space="preserve"> PAGEREF _Toc128561195 \h </w:instrText>
          </w:r>
          <w:r>
            <w:fldChar w:fldCharType="separate"/>
          </w:r>
          <w:r>
            <w:t>17</w:t>
          </w:r>
          <w:r>
            <w:fldChar w:fldCharType="end"/>
          </w:r>
          <w:r>
            <w:fldChar w:fldCharType="end"/>
          </w:r>
        </w:p>
        <w:p>
          <w:pPr>
            <w:pStyle w:val="9"/>
            <w:tabs>
              <w:tab w:val="right" w:leader="dot" w:pos="8296"/>
            </w:tabs>
            <w:rPr>
              <w:rFonts w:asciiTheme="minorHAnsi" w:hAnsiTheme="minorHAnsi" w:eastAsiaTheme="minorEastAsia" w:cstheme="minorBidi"/>
              <w:kern w:val="2"/>
              <w:sz w:val="21"/>
              <w:szCs w:val="22"/>
            </w:rPr>
          </w:pPr>
          <w:r>
            <w:fldChar w:fldCharType="begin"/>
          </w:r>
          <w:r>
            <w:instrText xml:space="preserve"> HYPERLINK \l "_Toc128561196" </w:instrText>
          </w:r>
          <w:r>
            <w:fldChar w:fldCharType="separate"/>
          </w:r>
          <w:r>
            <w:rPr>
              <w:rStyle w:val="12"/>
              <w:rFonts w:hint="eastAsia"/>
            </w:rPr>
            <w:t>十、一般公共预算“三公”经费支出预算表</w:t>
          </w:r>
          <w:r>
            <w:tab/>
          </w:r>
          <w:r>
            <w:fldChar w:fldCharType="begin"/>
          </w:r>
          <w:r>
            <w:instrText xml:space="preserve"> PAGEREF _Toc128561196 \h </w:instrText>
          </w:r>
          <w:r>
            <w:fldChar w:fldCharType="separate"/>
          </w:r>
          <w:r>
            <w:t>18</w:t>
          </w:r>
          <w:r>
            <w:fldChar w:fldCharType="end"/>
          </w:r>
          <w:r>
            <w:fldChar w:fldCharType="end"/>
          </w:r>
        </w:p>
        <w:p>
          <w:pPr>
            <w:pStyle w:val="9"/>
            <w:tabs>
              <w:tab w:val="right" w:leader="dot" w:pos="8296"/>
            </w:tabs>
            <w:rPr>
              <w:rFonts w:asciiTheme="minorHAnsi" w:hAnsiTheme="minorHAnsi" w:eastAsiaTheme="minorEastAsia" w:cstheme="minorBidi"/>
              <w:kern w:val="2"/>
              <w:sz w:val="21"/>
              <w:szCs w:val="22"/>
            </w:rPr>
          </w:pPr>
          <w:r>
            <w:fldChar w:fldCharType="begin"/>
          </w:r>
          <w:r>
            <w:instrText xml:space="preserve"> HYPERLINK \l "_Toc128561197" </w:instrText>
          </w:r>
          <w:r>
            <w:fldChar w:fldCharType="separate"/>
          </w:r>
          <w:r>
            <w:rPr>
              <w:rStyle w:val="12"/>
              <w:rFonts w:hint="eastAsia"/>
            </w:rPr>
            <w:t>十一、部门专项资金管理清单目录</w:t>
          </w:r>
          <w:r>
            <w:tab/>
          </w:r>
          <w:r>
            <w:fldChar w:fldCharType="begin"/>
          </w:r>
          <w:r>
            <w:instrText xml:space="preserve"> PAGEREF _Toc128561197 \h </w:instrText>
          </w:r>
          <w:r>
            <w:fldChar w:fldCharType="separate"/>
          </w:r>
          <w:r>
            <w:t>19</w:t>
          </w:r>
          <w:r>
            <w:fldChar w:fldCharType="end"/>
          </w:r>
          <w:r>
            <w:fldChar w:fldCharType="end"/>
          </w:r>
        </w:p>
        <w:p>
          <w:pPr>
            <w:pStyle w:val="8"/>
            <w:tabs>
              <w:tab w:val="right" w:leader="dot" w:pos="8296"/>
            </w:tabs>
            <w:rPr>
              <w:rFonts w:asciiTheme="minorHAnsi" w:hAnsiTheme="minorHAnsi" w:eastAsiaTheme="minorEastAsia" w:cstheme="minorBidi"/>
              <w:b w:val="0"/>
              <w:kern w:val="2"/>
              <w:sz w:val="21"/>
              <w:szCs w:val="22"/>
            </w:rPr>
          </w:pPr>
          <w:r>
            <w:fldChar w:fldCharType="begin"/>
          </w:r>
          <w:r>
            <w:instrText xml:space="preserve"> HYPERLINK \l "_Toc128561198" </w:instrText>
          </w:r>
          <w:r>
            <w:fldChar w:fldCharType="separate"/>
          </w:r>
          <w:r>
            <w:rPr>
              <w:rStyle w:val="12"/>
              <w:rFonts w:hint="eastAsia"/>
            </w:rPr>
            <w:t>第三部分</w:t>
          </w:r>
          <w:r>
            <w:rPr>
              <w:rStyle w:val="12"/>
            </w:rPr>
            <w:t xml:space="preserve"> 2023</w:t>
          </w:r>
          <w:r>
            <w:rPr>
              <w:rStyle w:val="12"/>
              <w:rFonts w:hint="eastAsia"/>
            </w:rPr>
            <w:t>年度部门预算情况说明</w:t>
          </w:r>
          <w:r>
            <w:tab/>
          </w:r>
          <w:r>
            <w:fldChar w:fldCharType="begin"/>
          </w:r>
          <w:r>
            <w:instrText xml:space="preserve"> PAGEREF _Toc128561198 \h </w:instrText>
          </w:r>
          <w:r>
            <w:fldChar w:fldCharType="separate"/>
          </w:r>
          <w:r>
            <w:t>20</w:t>
          </w:r>
          <w:r>
            <w:fldChar w:fldCharType="end"/>
          </w:r>
          <w:r>
            <w:fldChar w:fldCharType="end"/>
          </w:r>
        </w:p>
        <w:p>
          <w:pPr>
            <w:pStyle w:val="9"/>
            <w:tabs>
              <w:tab w:val="right" w:leader="dot" w:pos="8296"/>
            </w:tabs>
            <w:rPr>
              <w:rFonts w:asciiTheme="minorHAnsi" w:hAnsiTheme="minorHAnsi" w:eastAsiaTheme="minorEastAsia" w:cstheme="minorBidi"/>
              <w:kern w:val="2"/>
              <w:sz w:val="21"/>
              <w:szCs w:val="22"/>
            </w:rPr>
          </w:pPr>
          <w:r>
            <w:fldChar w:fldCharType="begin"/>
          </w:r>
          <w:r>
            <w:instrText xml:space="preserve"> HYPERLINK \l "_Toc128561199" </w:instrText>
          </w:r>
          <w:r>
            <w:fldChar w:fldCharType="separate"/>
          </w:r>
          <w:r>
            <w:rPr>
              <w:rStyle w:val="12"/>
              <w:rFonts w:hint="eastAsia"/>
            </w:rPr>
            <w:t>一、预算收支总体情况</w:t>
          </w:r>
          <w:r>
            <w:tab/>
          </w:r>
          <w:r>
            <w:fldChar w:fldCharType="begin"/>
          </w:r>
          <w:r>
            <w:instrText xml:space="preserve"> PAGEREF _Toc128561199 \h </w:instrText>
          </w:r>
          <w:r>
            <w:fldChar w:fldCharType="separate"/>
          </w:r>
          <w:r>
            <w:t>21</w:t>
          </w:r>
          <w:r>
            <w:fldChar w:fldCharType="end"/>
          </w:r>
          <w:r>
            <w:fldChar w:fldCharType="end"/>
          </w:r>
        </w:p>
        <w:p>
          <w:pPr>
            <w:pStyle w:val="9"/>
            <w:tabs>
              <w:tab w:val="right" w:leader="dot" w:pos="8296"/>
            </w:tabs>
            <w:rPr>
              <w:rFonts w:asciiTheme="minorHAnsi" w:hAnsiTheme="minorHAnsi" w:eastAsiaTheme="minorEastAsia" w:cstheme="minorBidi"/>
              <w:kern w:val="2"/>
              <w:sz w:val="21"/>
              <w:szCs w:val="22"/>
            </w:rPr>
          </w:pPr>
          <w:r>
            <w:fldChar w:fldCharType="begin"/>
          </w:r>
          <w:r>
            <w:instrText xml:space="preserve"> HYPERLINK \l "_Toc128561200" </w:instrText>
          </w:r>
          <w:r>
            <w:fldChar w:fldCharType="separate"/>
          </w:r>
          <w:r>
            <w:rPr>
              <w:rStyle w:val="12"/>
              <w:rFonts w:hint="eastAsia"/>
            </w:rPr>
            <w:t>二、一般公共预算拨款支出情况</w:t>
          </w:r>
          <w:r>
            <w:tab/>
          </w:r>
          <w:r>
            <w:fldChar w:fldCharType="begin"/>
          </w:r>
          <w:r>
            <w:instrText xml:space="preserve"> PAGEREF _Toc128561200 \h </w:instrText>
          </w:r>
          <w:r>
            <w:fldChar w:fldCharType="separate"/>
          </w:r>
          <w:r>
            <w:t>21</w:t>
          </w:r>
          <w:r>
            <w:fldChar w:fldCharType="end"/>
          </w:r>
          <w:r>
            <w:fldChar w:fldCharType="end"/>
          </w:r>
        </w:p>
        <w:p>
          <w:pPr>
            <w:pStyle w:val="9"/>
            <w:tabs>
              <w:tab w:val="right" w:leader="dot" w:pos="8296"/>
            </w:tabs>
            <w:rPr>
              <w:rFonts w:asciiTheme="minorHAnsi" w:hAnsiTheme="minorHAnsi" w:eastAsiaTheme="minorEastAsia" w:cstheme="minorBidi"/>
              <w:kern w:val="2"/>
              <w:sz w:val="21"/>
              <w:szCs w:val="22"/>
            </w:rPr>
          </w:pPr>
          <w:r>
            <w:fldChar w:fldCharType="begin"/>
          </w:r>
          <w:r>
            <w:instrText xml:space="preserve"> HYPERLINK \l "_Toc128561201" </w:instrText>
          </w:r>
          <w:r>
            <w:fldChar w:fldCharType="separate"/>
          </w:r>
          <w:r>
            <w:rPr>
              <w:rStyle w:val="12"/>
              <w:rFonts w:hint="eastAsia"/>
            </w:rPr>
            <w:t>三、政府性基金预算拨款支出情况</w:t>
          </w:r>
          <w:r>
            <w:tab/>
          </w:r>
          <w:r>
            <w:fldChar w:fldCharType="begin"/>
          </w:r>
          <w:r>
            <w:instrText xml:space="preserve"> PAGEREF _Toc128561201 \h </w:instrText>
          </w:r>
          <w:r>
            <w:fldChar w:fldCharType="separate"/>
          </w:r>
          <w:r>
            <w:t>22</w:t>
          </w:r>
          <w:r>
            <w:fldChar w:fldCharType="end"/>
          </w:r>
          <w:r>
            <w:fldChar w:fldCharType="end"/>
          </w:r>
        </w:p>
        <w:p>
          <w:pPr>
            <w:pStyle w:val="9"/>
            <w:tabs>
              <w:tab w:val="right" w:leader="dot" w:pos="8296"/>
            </w:tabs>
            <w:rPr>
              <w:rFonts w:asciiTheme="minorHAnsi" w:hAnsiTheme="minorHAnsi" w:eastAsiaTheme="minorEastAsia" w:cstheme="minorBidi"/>
              <w:kern w:val="2"/>
              <w:sz w:val="21"/>
              <w:szCs w:val="22"/>
            </w:rPr>
          </w:pPr>
          <w:r>
            <w:fldChar w:fldCharType="begin"/>
          </w:r>
          <w:r>
            <w:instrText xml:space="preserve"> HYPERLINK \l "_Toc128561202" </w:instrText>
          </w:r>
          <w:r>
            <w:fldChar w:fldCharType="separate"/>
          </w:r>
          <w:r>
            <w:rPr>
              <w:rStyle w:val="12"/>
              <w:rFonts w:hint="eastAsia"/>
            </w:rPr>
            <w:t>四、国有资本经营预算拨款支出情况</w:t>
          </w:r>
          <w:r>
            <w:tab/>
          </w:r>
          <w:r>
            <w:fldChar w:fldCharType="begin"/>
          </w:r>
          <w:r>
            <w:instrText xml:space="preserve"> PAGEREF _Toc128561202 \h </w:instrText>
          </w:r>
          <w:r>
            <w:fldChar w:fldCharType="separate"/>
          </w:r>
          <w:r>
            <w:t>22</w:t>
          </w:r>
          <w:r>
            <w:fldChar w:fldCharType="end"/>
          </w:r>
          <w:r>
            <w:fldChar w:fldCharType="end"/>
          </w:r>
        </w:p>
        <w:p>
          <w:pPr>
            <w:pStyle w:val="9"/>
            <w:tabs>
              <w:tab w:val="right" w:leader="dot" w:pos="8296"/>
            </w:tabs>
            <w:rPr>
              <w:rFonts w:asciiTheme="minorHAnsi" w:hAnsiTheme="minorHAnsi" w:eastAsiaTheme="minorEastAsia" w:cstheme="minorBidi"/>
              <w:kern w:val="2"/>
              <w:sz w:val="21"/>
              <w:szCs w:val="22"/>
            </w:rPr>
          </w:pPr>
          <w:r>
            <w:fldChar w:fldCharType="begin"/>
          </w:r>
          <w:r>
            <w:instrText xml:space="preserve"> HYPERLINK \l "_Toc128561203" </w:instrText>
          </w:r>
          <w:r>
            <w:fldChar w:fldCharType="separate"/>
          </w:r>
          <w:r>
            <w:rPr>
              <w:rStyle w:val="12"/>
              <w:rFonts w:hint="eastAsia"/>
            </w:rPr>
            <w:t>五、一般公共预算拨款基本支出情况</w:t>
          </w:r>
          <w:r>
            <w:tab/>
          </w:r>
          <w:r>
            <w:fldChar w:fldCharType="begin"/>
          </w:r>
          <w:r>
            <w:instrText xml:space="preserve"> PAGEREF _Toc128561203 \h </w:instrText>
          </w:r>
          <w:r>
            <w:fldChar w:fldCharType="separate"/>
          </w:r>
          <w:r>
            <w:t>22</w:t>
          </w:r>
          <w:r>
            <w:fldChar w:fldCharType="end"/>
          </w:r>
          <w:r>
            <w:fldChar w:fldCharType="end"/>
          </w:r>
        </w:p>
        <w:p>
          <w:pPr>
            <w:pStyle w:val="9"/>
            <w:tabs>
              <w:tab w:val="right" w:leader="dot" w:pos="8296"/>
            </w:tabs>
            <w:rPr>
              <w:rFonts w:asciiTheme="minorHAnsi" w:hAnsiTheme="minorHAnsi" w:eastAsiaTheme="minorEastAsia" w:cstheme="minorBidi"/>
              <w:kern w:val="2"/>
              <w:sz w:val="21"/>
              <w:szCs w:val="22"/>
            </w:rPr>
          </w:pPr>
          <w:r>
            <w:fldChar w:fldCharType="begin"/>
          </w:r>
          <w:r>
            <w:instrText xml:space="preserve"> HYPERLINK \l "_Toc128561204" </w:instrText>
          </w:r>
          <w:r>
            <w:fldChar w:fldCharType="separate"/>
          </w:r>
          <w:r>
            <w:rPr>
              <w:rStyle w:val="12"/>
              <w:rFonts w:hint="eastAsia"/>
            </w:rPr>
            <w:t>六、一般公共预算“三公”经费支出情况</w:t>
          </w:r>
          <w:r>
            <w:tab/>
          </w:r>
          <w:r>
            <w:fldChar w:fldCharType="begin"/>
          </w:r>
          <w:r>
            <w:instrText xml:space="preserve"> PAGEREF _Toc128561204 \h </w:instrText>
          </w:r>
          <w:r>
            <w:fldChar w:fldCharType="separate"/>
          </w:r>
          <w:r>
            <w:t>23</w:t>
          </w:r>
          <w:r>
            <w:fldChar w:fldCharType="end"/>
          </w:r>
          <w:r>
            <w:fldChar w:fldCharType="end"/>
          </w:r>
        </w:p>
        <w:p>
          <w:pPr>
            <w:pStyle w:val="9"/>
            <w:tabs>
              <w:tab w:val="right" w:leader="dot" w:pos="8296"/>
            </w:tabs>
            <w:rPr>
              <w:rFonts w:asciiTheme="minorHAnsi" w:hAnsiTheme="minorHAnsi" w:eastAsiaTheme="minorEastAsia" w:cstheme="minorBidi"/>
              <w:kern w:val="2"/>
              <w:sz w:val="21"/>
              <w:szCs w:val="22"/>
            </w:rPr>
          </w:pPr>
          <w:r>
            <w:fldChar w:fldCharType="begin"/>
          </w:r>
          <w:r>
            <w:instrText xml:space="preserve"> HYPERLINK \l "_Toc128561205" </w:instrText>
          </w:r>
          <w:r>
            <w:fldChar w:fldCharType="separate"/>
          </w:r>
          <w:r>
            <w:rPr>
              <w:rStyle w:val="12"/>
              <w:rFonts w:hint="eastAsia"/>
            </w:rPr>
            <w:t>七、预算绩效目标情况</w:t>
          </w:r>
          <w:r>
            <w:tab/>
          </w:r>
          <w:r>
            <w:fldChar w:fldCharType="begin"/>
          </w:r>
          <w:r>
            <w:instrText xml:space="preserve"> PAGEREF _Toc128561205 \h </w:instrText>
          </w:r>
          <w:r>
            <w:fldChar w:fldCharType="separate"/>
          </w:r>
          <w:r>
            <w:t>23</w:t>
          </w:r>
          <w:r>
            <w:fldChar w:fldCharType="end"/>
          </w:r>
          <w:r>
            <w:fldChar w:fldCharType="end"/>
          </w:r>
        </w:p>
        <w:p>
          <w:pPr>
            <w:pStyle w:val="9"/>
            <w:tabs>
              <w:tab w:val="right" w:leader="dot" w:pos="8296"/>
            </w:tabs>
            <w:rPr>
              <w:rFonts w:asciiTheme="minorHAnsi" w:hAnsiTheme="minorHAnsi" w:eastAsiaTheme="minorEastAsia" w:cstheme="minorBidi"/>
              <w:kern w:val="2"/>
              <w:sz w:val="21"/>
              <w:szCs w:val="22"/>
            </w:rPr>
          </w:pPr>
          <w:r>
            <w:fldChar w:fldCharType="begin"/>
          </w:r>
          <w:r>
            <w:instrText xml:space="preserve"> HYPERLINK \l "_Toc128561206" </w:instrText>
          </w:r>
          <w:r>
            <w:fldChar w:fldCharType="separate"/>
          </w:r>
          <w:r>
            <w:rPr>
              <w:rStyle w:val="12"/>
              <w:rFonts w:hint="eastAsia"/>
            </w:rPr>
            <w:t>八、其他重要事项说明</w:t>
          </w:r>
          <w:r>
            <w:tab/>
          </w:r>
          <w:r>
            <w:fldChar w:fldCharType="begin"/>
          </w:r>
          <w:r>
            <w:instrText xml:space="preserve"> PAGEREF _Toc128561206 \h </w:instrText>
          </w:r>
          <w:r>
            <w:fldChar w:fldCharType="separate"/>
          </w:r>
          <w:r>
            <w:t>24</w:t>
          </w:r>
          <w:r>
            <w:fldChar w:fldCharType="end"/>
          </w:r>
          <w:r>
            <w:fldChar w:fldCharType="end"/>
          </w:r>
        </w:p>
        <w:p>
          <w:pPr>
            <w:pStyle w:val="8"/>
            <w:tabs>
              <w:tab w:val="right" w:leader="dot" w:pos="8296"/>
            </w:tabs>
            <w:rPr>
              <w:rFonts w:asciiTheme="minorHAnsi" w:hAnsiTheme="minorHAnsi" w:eastAsiaTheme="minorEastAsia" w:cstheme="minorBidi"/>
              <w:b w:val="0"/>
              <w:kern w:val="2"/>
              <w:sz w:val="21"/>
              <w:szCs w:val="22"/>
            </w:rPr>
          </w:pPr>
          <w:r>
            <w:fldChar w:fldCharType="begin"/>
          </w:r>
          <w:r>
            <w:instrText xml:space="preserve"> HYPERLINK \l "_Toc128561207" </w:instrText>
          </w:r>
          <w:r>
            <w:fldChar w:fldCharType="separate"/>
          </w:r>
          <w:r>
            <w:rPr>
              <w:rStyle w:val="12"/>
              <w:rFonts w:hint="eastAsia"/>
            </w:rPr>
            <w:t>第四部分</w:t>
          </w:r>
          <w:r>
            <w:rPr>
              <w:rStyle w:val="12"/>
            </w:rPr>
            <w:t xml:space="preserve">  </w:t>
          </w:r>
          <w:r>
            <w:rPr>
              <w:rStyle w:val="12"/>
              <w:rFonts w:hint="eastAsia"/>
            </w:rPr>
            <w:t>名词解释</w:t>
          </w:r>
          <w:r>
            <w:tab/>
          </w:r>
          <w:r>
            <w:fldChar w:fldCharType="begin"/>
          </w:r>
          <w:r>
            <w:instrText xml:space="preserve"> PAGEREF _Toc128561207 \h </w:instrText>
          </w:r>
          <w:r>
            <w:fldChar w:fldCharType="separate"/>
          </w:r>
          <w:r>
            <w:t>25</w:t>
          </w:r>
          <w:r>
            <w:fldChar w:fldCharType="end"/>
          </w:r>
          <w:r>
            <w:fldChar w:fldCharType="end"/>
          </w:r>
        </w:p>
        <w:p>
          <w:r>
            <w:rPr>
              <w:b/>
              <w:bCs/>
              <w:lang w:val="zh-CN"/>
            </w:rPr>
            <w:fldChar w:fldCharType="end"/>
          </w:r>
        </w:p>
      </w:sdtContent>
    </w:sdt>
    <w:p>
      <w:pPr>
        <w:widowControl/>
        <w:spacing w:line="240" w:lineRule="auto"/>
        <w:jc w:val="left"/>
        <w:rPr>
          <w:rFonts w:ascii="黑体" w:hAnsi="黑体" w:eastAsia="黑体"/>
          <w:sz w:val="36"/>
          <w:szCs w:val="36"/>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r>
        <w:rPr>
          <w:rFonts w:ascii="黑体" w:hAnsi="黑体" w:eastAsia="黑体"/>
          <w:sz w:val="36"/>
          <w:szCs w:val="36"/>
        </w:rPr>
        <w:br w:type="page"/>
      </w:r>
    </w:p>
    <w:p>
      <w:pPr>
        <w:widowControl/>
        <w:spacing w:line="240" w:lineRule="auto"/>
        <w:jc w:val="left"/>
        <w:rPr>
          <w:rFonts w:ascii="黑体" w:hAnsi="黑体" w:eastAsia="黑体" w:cs="Times New Roman"/>
          <w:kern w:val="0"/>
          <w:sz w:val="36"/>
          <w:szCs w:val="36"/>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2"/>
        <w:ind w:left="3080" w:hanging="3080" w:hangingChars="550"/>
      </w:pPr>
      <w:bookmarkStart w:id="0" w:name="_Toc128561182"/>
      <w:r>
        <w:rPr>
          <w:rFonts w:hint="eastAsia"/>
        </w:rPr>
        <w:t>第一部分</w:t>
      </w:r>
      <w:r>
        <w:t xml:space="preserve"> </w:t>
      </w:r>
      <w:r>
        <w:rPr>
          <w:rFonts w:hint="eastAsia"/>
        </w:rPr>
        <w:br w:type="textWrapping"/>
      </w:r>
      <w:r>
        <w:rPr>
          <w:rFonts w:hint="eastAsia"/>
        </w:rPr>
        <w:t>部门概况</w:t>
      </w:r>
      <w:bookmarkEnd w:id="0"/>
    </w:p>
    <w:p>
      <w:pPr>
        <w:pStyle w:val="3"/>
        <w:rPr>
          <w:rFonts w:ascii="黑体" w:hAnsi="黑体" w:eastAsia="黑体"/>
          <w:sz w:val="36"/>
          <w:szCs w:val="36"/>
          <w:lang w:eastAsia="zh-CN"/>
        </w:rPr>
      </w:pPr>
    </w:p>
    <w:p>
      <w:pPr>
        <w:pStyle w:val="3"/>
        <w:rPr>
          <w:rFonts w:ascii="黑体" w:hAnsi="黑体" w:eastAsia="黑体" w:cstheme="minorBidi"/>
          <w:kern w:val="2"/>
          <w:sz w:val="32"/>
          <w:szCs w:val="32"/>
          <w:lang w:eastAsia="zh-CN"/>
        </w:rPr>
        <w:sectPr>
          <w:footerReference r:id="rId7" w:type="default"/>
          <w:pgSz w:w="11906" w:h="16838"/>
          <w:pgMar w:top="1440" w:right="1800" w:bottom="1440" w:left="1800" w:header="851" w:footer="992" w:gutter="0"/>
          <w:pgNumType w:start="1"/>
          <w:cols w:space="425" w:num="1"/>
          <w:docGrid w:type="lines" w:linePitch="312" w:charSpace="0"/>
        </w:sectPr>
      </w:pPr>
    </w:p>
    <w:p>
      <w:pPr>
        <w:pStyle w:val="4"/>
      </w:pPr>
      <w:bookmarkStart w:id="1" w:name="_Toc128561183"/>
      <w:r>
        <w:rPr>
          <w:rFonts w:hint="eastAsia"/>
        </w:rPr>
        <w:t>一、部门主要职责</w:t>
      </w:r>
      <w:bookmarkEnd w:id="1"/>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福建省中医药科学院的主要职责是：开展中医药基础与临床研究，承担新药的临床研究工作，开发山海药物资源，开展中医药的对外交流。</w:t>
      </w:r>
    </w:p>
    <w:p>
      <w:pPr>
        <w:pStyle w:val="3"/>
        <w:rPr>
          <w:rFonts w:ascii="黑体" w:hAnsi="黑体" w:eastAsia="黑体" w:cstheme="minorBidi"/>
          <w:kern w:val="2"/>
          <w:sz w:val="32"/>
          <w:szCs w:val="32"/>
          <w:lang w:eastAsia="zh-CN"/>
        </w:rPr>
      </w:pPr>
    </w:p>
    <w:p>
      <w:pPr>
        <w:pStyle w:val="4"/>
      </w:pPr>
      <w:bookmarkStart w:id="2" w:name="_Toc128561184"/>
      <w:r>
        <w:rPr>
          <w:rFonts w:hint="eastAsia"/>
        </w:rPr>
        <w:t>二、部门预算单位构成</w:t>
      </w:r>
      <w:bookmarkEnd w:id="2"/>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福建省中医药科学院是省属公益一类科研机构，内设行政管理科室</w:t>
      </w:r>
      <w:r>
        <w:rPr>
          <w:rFonts w:ascii="仿宋" w:hAnsi="仿宋" w:eastAsia="仿宋" w:cs="仿宋_GB2312"/>
          <w:sz w:val="32"/>
          <w:szCs w:val="32"/>
        </w:rPr>
        <w:t>7</w:t>
      </w:r>
      <w:r>
        <w:rPr>
          <w:rFonts w:hint="eastAsia" w:ascii="仿宋" w:hAnsi="仿宋" w:eastAsia="仿宋" w:cs="仿宋_GB2312"/>
          <w:sz w:val="32"/>
          <w:szCs w:val="32"/>
        </w:rPr>
        <w:t>个：院办公室、科研办公室、后勤管理科、资产科、财务科、监察审计室、科技产业办公室；科研业务部门</w:t>
      </w:r>
      <w:r>
        <w:rPr>
          <w:rFonts w:ascii="仿宋" w:hAnsi="仿宋" w:eastAsia="仿宋" w:cs="仿宋_GB2312"/>
          <w:sz w:val="32"/>
          <w:szCs w:val="32"/>
        </w:rPr>
        <w:t>8</w:t>
      </w:r>
      <w:r>
        <w:rPr>
          <w:rFonts w:hint="eastAsia" w:ascii="仿宋" w:hAnsi="仿宋" w:eastAsia="仿宋" w:cs="仿宋_GB2312"/>
          <w:sz w:val="32"/>
          <w:szCs w:val="32"/>
        </w:rPr>
        <w:t>个：经络研究所、药物研究所、中医基础研究所、临床医学研究所、图书文献信息室、比较医学中心、中间产品试验室、中医药技术转移中心；挂靠机构1个：福建省青草药开发服务中心。</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单位人员编制数</w:t>
      </w:r>
      <w:r>
        <w:rPr>
          <w:rFonts w:ascii="仿宋" w:hAnsi="仿宋" w:eastAsia="仿宋" w:cs="仿宋_GB2312"/>
          <w:sz w:val="32"/>
          <w:szCs w:val="32"/>
        </w:rPr>
        <w:t>140</w:t>
      </w:r>
      <w:r>
        <w:rPr>
          <w:rFonts w:hint="eastAsia" w:ascii="仿宋" w:hAnsi="仿宋" w:eastAsia="仿宋" w:cs="仿宋_GB2312"/>
          <w:sz w:val="32"/>
          <w:szCs w:val="32"/>
        </w:rPr>
        <w:t>人，单位的经费性质为财政核拨。</w:t>
      </w:r>
      <w:r>
        <w:rPr>
          <w:rFonts w:ascii="仿宋" w:hAnsi="仿宋" w:eastAsia="仿宋" w:cs="仿宋_GB2312"/>
          <w:sz w:val="32"/>
          <w:szCs w:val="32"/>
        </w:rPr>
        <w:t>202</w:t>
      </w:r>
      <w:r>
        <w:rPr>
          <w:rFonts w:hint="eastAsia" w:ascii="仿宋" w:hAnsi="仿宋" w:eastAsia="仿宋" w:cs="仿宋_GB2312"/>
          <w:sz w:val="32"/>
          <w:szCs w:val="32"/>
        </w:rPr>
        <w:t>2年末财政供养在职人员</w:t>
      </w:r>
      <w:r>
        <w:rPr>
          <w:rFonts w:ascii="仿宋" w:hAnsi="仿宋" w:eastAsia="仿宋" w:cs="仿宋_GB2312"/>
          <w:sz w:val="32"/>
          <w:szCs w:val="32"/>
        </w:rPr>
        <w:t>9</w:t>
      </w:r>
      <w:r>
        <w:rPr>
          <w:rFonts w:hint="eastAsia" w:ascii="仿宋" w:hAnsi="仿宋" w:eastAsia="仿宋" w:cs="仿宋_GB2312"/>
          <w:sz w:val="32"/>
          <w:szCs w:val="32"/>
        </w:rPr>
        <w:t>7人，离休人员2人，退休人员98人；非财政供养人员2人。</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列入2023年部门预算编制范围的单位详细情况见下表:</w:t>
      </w:r>
    </w:p>
    <w:tbl>
      <w:tblPr>
        <w:tblStyle w:val="10"/>
        <w:tblpPr w:leftFromText="180" w:rightFromText="180" w:vertAnchor="text" w:horzAnchor="page" w:tblpX="1912" w:tblpY="612"/>
        <w:tblOverlap w:val="never"/>
        <w:tblW w:w="8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9"/>
        <w:gridCol w:w="2262"/>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3959"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单位名称</w:t>
            </w:r>
          </w:p>
        </w:tc>
        <w:tc>
          <w:tcPr>
            <w:tcW w:w="2262"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经费性质</w:t>
            </w:r>
          </w:p>
        </w:tc>
        <w:tc>
          <w:tcPr>
            <w:tcW w:w="2157"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3959" w:type="dxa"/>
            <w:shd w:val="clear" w:color="auto" w:fill="auto"/>
          </w:tcPr>
          <w:p>
            <w:pPr>
              <w:tabs>
                <w:tab w:val="left" w:pos="7513"/>
              </w:tabs>
              <w:adjustRightInd w:val="0"/>
              <w:snapToGrid w:val="0"/>
              <w:spacing w:line="600" w:lineRule="exact"/>
              <w:ind w:firstLine="320" w:firstLineChars="100"/>
              <w:rPr>
                <w:rFonts w:ascii="仿宋" w:hAnsi="仿宋" w:eastAsia="仿宋"/>
                <w:sz w:val="32"/>
                <w:szCs w:val="32"/>
              </w:rPr>
            </w:pPr>
            <w:r>
              <w:rPr>
                <w:rFonts w:hint="eastAsia" w:ascii="仿宋" w:hAnsi="仿宋" w:eastAsia="仿宋"/>
                <w:sz w:val="32"/>
                <w:szCs w:val="32"/>
              </w:rPr>
              <w:t>福建省中医药科学院</w:t>
            </w:r>
          </w:p>
        </w:tc>
        <w:tc>
          <w:tcPr>
            <w:tcW w:w="2262" w:type="dxa"/>
            <w:shd w:val="clear" w:color="auto" w:fill="auto"/>
          </w:tcPr>
          <w:p>
            <w:pPr>
              <w:tabs>
                <w:tab w:val="left" w:pos="7513"/>
              </w:tabs>
              <w:adjustRightInd w:val="0"/>
              <w:snapToGrid w:val="0"/>
              <w:spacing w:line="600" w:lineRule="exact"/>
              <w:ind w:firstLine="320" w:firstLineChars="100"/>
              <w:rPr>
                <w:rFonts w:ascii="仿宋" w:hAnsi="仿宋" w:eastAsia="仿宋"/>
                <w:sz w:val="32"/>
                <w:szCs w:val="32"/>
              </w:rPr>
            </w:pPr>
            <w:r>
              <w:rPr>
                <w:rFonts w:hint="eastAsia" w:ascii="仿宋" w:hAnsi="仿宋" w:eastAsia="仿宋"/>
                <w:sz w:val="32"/>
                <w:szCs w:val="32"/>
              </w:rPr>
              <w:t>财政核拨</w:t>
            </w:r>
          </w:p>
        </w:tc>
        <w:tc>
          <w:tcPr>
            <w:tcW w:w="2157" w:type="dxa"/>
            <w:shd w:val="clear" w:color="auto" w:fill="auto"/>
          </w:tcPr>
          <w:p>
            <w:pPr>
              <w:tabs>
                <w:tab w:val="left" w:pos="7513"/>
              </w:tabs>
              <w:adjustRightInd w:val="0"/>
              <w:snapToGrid w:val="0"/>
              <w:spacing w:line="600" w:lineRule="exact"/>
              <w:ind w:firstLine="960" w:firstLineChars="300"/>
              <w:rPr>
                <w:rFonts w:ascii="仿宋" w:hAnsi="仿宋" w:eastAsia="仿宋"/>
                <w:sz w:val="32"/>
                <w:szCs w:val="32"/>
              </w:rPr>
            </w:pPr>
            <w:r>
              <w:rPr>
                <w:rFonts w:hint="eastAsia" w:ascii="仿宋" w:hAnsi="仿宋" w:eastAsia="仿宋"/>
                <w:sz w:val="32"/>
                <w:szCs w:val="32"/>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3959" w:type="dxa"/>
            <w:shd w:val="clear" w:color="auto" w:fill="auto"/>
          </w:tcPr>
          <w:p>
            <w:pPr>
              <w:tabs>
                <w:tab w:val="left" w:pos="7513"/>
              </w:tabs>
              <w:adjustRightInd w:val="0"/>
              <w:snapToGrid w:val="0"/>
              <w:spacing w:line="600" w:lineRule="exact"/>
              <w:rPr>
                <w:rFonts w:ascii="仿宋" w:hAnsi="仿宋" w:eastAsia="仿宋"/>
                <w:sz w:val="32"/>
                <w:szCs w:val="32"/>
              </w:rPr>
            </w:pPr>
          </w:p>
        </w:tc>
        <w:tc>
          <w:tcPr>
            <w:tcW w:w="2262" w:type="dxa"/>
            <w:shd w:val="clear" w:color="auto" w:fill="auto"/>
          </w:tcPr>
          <w:p>
            <w:pPr>
              <w:tabs>
                <w:tab w:val="left" w:pos="7513"/>
              </w:tabs>
              <w:adjustRightInd w:val="0"/>
              <w:snapToGrid w:val="0"/>
              <w:spacing w:line="600" w:lineRule="exact"/>
              <w:rPr>
                <w:rFonts w:ascii="仿宋" w:hAnsi="仿宋" w:eastAsia="仿宋"/>
                <w:sz w:val="32"/>
                <w:szCs w:val="32"/>
              </w:rPr>
            </w:pPr>
          </w:p>
        </w:tc>
        <w:tc>
          <w:tcPr>
            <w:tcW w:w="2157" w:type="dxa"/>
            <w:shd w:val="clear" w:color="auto" w:fill="auto"/>
          </w:tcPr>
          <w:p>
            <w:pPr>
              <w:tabs>
                <w:tab w:val="left" w:pos="7513"/>
              </w:tabs>
              <w:adjustRightInd w:val="0"/>
              <w:snapToGrid w:val="0"/>
              <w:spacing w:line="600" w:lineRule="exact"/>
              <w:rPr>
                <w:rFonts w:ascii="仿宋" w:hAnsi="仿宋" w:eastAsia="仿宋"/>
                <w:sz w:val="32"/>
                <w:szCs w:val="32"/>
              </w:rPr>
            </w:pP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pStyle w:val="4"/>
      </w:pPr>
      <w:bookmarkStart w:id="3" w:name="_Toc128561185"/>
    </w:p>
    <w:p>
      <w:pPr>
        <w:pStyle w:val="4"/>
      </w:pPr>
      <w:r>
        <w:rPr>
          <w:rFonts w:hint="eastAsia"/>
        </w:rPr>
        <w:t>三、部门主要工作任务</w:t>
      </w:r>
      <w:bookmarkEnd w:id="3"/>
    </w:p>
    <w:p>
      <w:pPr>
        <w:tabs>
          <w:tab w:val="left" w:pos="1380"/>
        </w:tabs>
        <w:spacing w:line="560" w:lineRule="exact"/>
        <w:ind w:firstLine="640" w:firstLineChars="200"/>
        <w:rPr>
          <w:rFonts w:ascii="仿宋" w:hAnsi="仿宋" w:eastAsia="仿宋"/>
          <w:bCs/>
          <w:sz w:val="32"/>
          <w:szCs w:val="32"/>
        </w:rPr>
      </w:pPr>
      <w:r>
        <w:rPr>
          <w:rFonts w:hint="eastAsia" w:ascii="仿宋" w:hAnsi="仿宋" w:eastAsia="仿宋"/>
          <w:bCs/>
          <w:sz w:val="32"/>
          <w:szCs w:val="32"/>
        </w:rPr>
        <w:t>2023年，福建省中医药科学院将继续围绕“十四五”发展规划，保持优势学科的攻关方向和前进势头，进一步促进科研、产业、医疗的融合发展。</w:t>
      </w:r>
    </w:p>
    <w:p>
      <w:pPr>
        <w:tabs>
          <w:tab w:val="left" w:pos="1380"/>
        </w:tabs>
        <w:spacing w:line="560" w:lineRule="exact"/>
        <w:ind w:firstLine="640" w:firstLineChars="200"/>
        <w:rPr>
          <w:rFonts w:ascii="楷体" w:hAnsi="楷体" w:eastAsia="楷体"/>
          <w:sz w:val="32"/>
          <w:szCs w:val="32"/>
        </w:rPr>
      </w:pPr>
      <w:r>
        <w:rPr>
          <w:rFonts w:hint="eastAsia" w:ascii="楷体" w:hAnsi="楷体" w:eastAsia="楷体"/>
          <w:sz w:val="32"/>
          <w:szCs w:val="32"/>
        </w:rPr>
        <w:t>（一）全面从严治党工作方面</w:t>
      </w:r>
    </w:p>
    <w:p>
      <w:pPr>
        <w:tabs>
          <w:tab w:val="left" w:pos="1380"/>
        </w:tabs>
        <w:spacing w:line="560" w:lineRule="exact"/>
        <w:rPr>
          <w:rFonts w:ascii="仿宋" w:hAnsi="仿宋" w:eastAsia="仿宋"/>
          <w:bCs/>
          <w:sz w:val="32"/>
          <w:szCs w:val="32"/>
        </w:rPr>
      </w:pPr>
      <w:r>
        <w:rPr>
          <w:rFonts w:hint="eastAsia" w:ascii="仿宋" w:hAnsi="仿宋" w:eastAsia="仿宋"/>
          <w:sz w:val="32"/>
          <w:szCs w:val="32"/>
        </w:rPr>
        <w:t xml:space="preserve">    </w:t>
      </w:r>
      <w:r>
        <w:rPr>
          <w:rFonts w:hint="eastAsia" w:ascii="仿宋" w:hAnsi="仿宋" w:eastAsia="仿宋"/>
          <w:bCs/>
          <w:sz w:val="32"/>
          <w:szCs w:val="32"/>
        </w:rPr>
        <w:t>进一步推进党建与中心工作相融共促双提升；推进意识形态工作的细化与完善；持续加强党员教育管理工作，促进党员更好地发挥先锋模范作用；紧抓</w:t>
      </w:r>
      <w:r>
        <w:rPr>
          <w:rFonts w:ascii="仿宋" w:hAnsi="仿宋" w:eastAsia="仿宋"/>
          <w:bCs/>
          <w:sz w:val="32"/>
          <w:szCs w:val="32"/>
        </w:rPr>
        <w:t>建章立制</w:t>
      </w:r>
      <w:r>
        <w:rPr>
          <w:rFonts w:hint="eastAsia" w:ascii="仿宋" w:hAnsi="仿宋" w:eastAsia="仿宋"/>
          <w:bCs/>
          <w:sz w:val="32"/>
          <w:szCs w:val="32"/>
        </w:rPr>
        <w:t>，</w:t>
      </w:r>
      <w:r>
        <w:rPr>
          <w:rFonts w:ascii="仿宋" w:hAnsi="仿宋" w:eastAsia="仿宋"/>
          <w:bCs/>
          <w:sz w:val="32"/>
          <w:szCs w:val="32"/>
        </w:rPr>
        <w:t>织牢从严治党的制度笼子</w:t>
      </w:r>
      <w:r>
        <w:rPr>
          <w:rFonts w:hint="eastAsia" w:ascii="仿宋" w:hAnsi="仿宋" w:eastAsia="仿宋"/>
          <w:bCs/>
          <w:sz w:val="32"/>
          <w:szCs w:val="32"/>
        </w:rPr>
        <w:t>。</w:t>
      </w:r>
    </w:p>
    <w:p>
      <w:pPr>
        <w:tabs>
          <w:tab w:val="left" w:pos="1380"/>
        </w:tabs>
        <w:spacing w:line="560" w:lineRule="exact"/>
        <w:ind w:firstLine="636"/>
        <w:rPr>
          <w:rFonts w:ascii="楷体" w:hAnsi="楷体" w:eastAsia="楷体"/>
          <w:sz w:val="32"/>
          <w:szCs w:val="32"/>
        </w:rPr>
      </w:pPr>
      <w:r>
        <w:rPr>
          <w:rFonts w:hint="eastAsia" w:ascii="楷体" w:hAnsi="楷体" w:eastAsia="楷体"/>
          <w:sz w:val="32"/>
          <w:szCs w:val="32"/>
        </w:rPr>
        <w:t>（二）科研工作方面</w:t>
      </w:r>
    </w:p>
    <w:p>
      <w:pPr>
        <w:tabs>
          <w:tab w:val="left" w:pos="1380"/>
        </w:tabs>
        <w:spacing w:line="560" w:lineRule="exact"/>
        <w:ind w:firstLine="640" w:firstLineChars="200"/>
        <w:rPr>
          <w:rFonts w:eastAsia="仿宋"/>
        </w:rPr>
      </w:pPr>
      <w:r>
        <w:rPr>
          <w:rFonts w:hint="eastAsia" w:ascii="仿宋" w:hAnsi="仿宋" w:eastAsia="仿宋"/>
          <w:bCs/>
          <w:sz w:val="32"/>
          <w:szCs w:val="32"/>
        </w:rPr>
        <w:t>进一步整合科研资源，突出重点，细化研究方向，努力提升我院科研人员的视野和水平，持续加强科技创新团队的建设；积极申报国家重点研究项目或加入国内其他团队申报重大项目，</w:t>
      </w:r>
      <w:r>
        <w:rPr>
          <w:rFonts w:hint="eastAsia" w:ascii="仿宋" w:hAnsi="仿宋" w:eastAsia="仿宋"/>
          <w:sz w:val="32"/>
          <w:szCs w:val="32"/>
        </w:rPr>
        <w:t>力争在国家级项目上获得2-3项资助</w:t>
      </w:r>
      <w:r>
        <w:rPr>
          <w:rFonts w:hint="eastAsia" w:ascii="仿宋" w:hAnsi="仿宋" w:eastAsia="仿宋"/>
          <w:bCs/>
          <w:sz w:val="32"/>
          <w:szCs w:val="32"/>
        </w:rPr>
        <w:t>；继续开展中药新药研发，为获得中药新药临床试验批件奠定基础；开发拥有自主知识产权的中医诊疗及保健仪器；发表“三类高质量论文”论文及SCI论文5篇以上；申报省部级或国家一级学会科学技术奖1项；授权专利4-6项。</w:t>
      </w:r>
    </w:p>
    <w:p>
      <w:pPr>
        <w:tabs>
          <w:tab w:val="left" w:pos="1380"/>
        </w:tabs>
        <w:spacing w:line="560" w:lineRule="exact"/>
        <w:ind w:firstLine="636"/>
        <w:rPr>
          <w:rFonts w:ascii="楷体" w:hAnsi="楷体" w:eastAsia="楷体"/>
          <w:sz w:val="32"/>
          <w:szCs w:val="32"/>
        </w:rPr>
      </w:pPr>
      <w:r>
        <w:rPr>
          <w:rFonts w:hint="eastAsia" w:ascii="楷体" w:hAnsi="楷体" w:eastAsia="楷体"/>
          <w:sz w:val="32"/>
          <w:szCs w:val="32"/>
        </w:rPr>
        <w:t>（三）产业工作方面</w:t>
      </w:r>
    </w:p>
    <w:p>
      <w:pPr>
        <w:tabs>
          <w:tab w:val="left" w:pos="1380"/>
        </w:tabs>
        <w:spacing w:line="560" w:lineRule="exact"/>
        <w:ind w:firstLine="636"/>
        <w:rPr>
          <w:rFonts w:ascii="仿宋" w:hAnsi="仿宋" w:eastAsia="仿宋"/>
          <w:bCs/>
          <w:sz w:val="32"/>
          <w:szCs w:val="32"/>
        </w:rPr>
      </w:pPr>
      <w:r>
        <w:rPr>
          <w:rFonts w:hint="eastAsia" w:ascii="仿宋" w:hAnsi="仿宋" w:eastAsia="仿宋"/>
          <w:bCs/>
          <w:sz w:val="32"/>
          <w:szCs w:val="32"/>
        </w:rPr>
        <w:t>加大科技服务力度，争取更多技术服务和研企合作项目</w:t>
      </w:r>
      <w:r>
        <w:rPr>
          <w:rFonts w:hint="eastAsia" w:ascii="仿宋" w:hAnsi="仿宋" w:eastAsia="仿宋"/>
          <w:sz w:val="32"/>
          <w:szCs w:val="32"/>
        </w:rPr>
        <w:t>；持续</w:t>
      </w:r>
      <w:r>
        <w:rPr>
          <w:rFonts w:hint="eastAsia" w:ascii="仿宋" w:hAnsi="仿宋" w:eastAsia="仿宋"/>
          <w:bCs/>
          <w:sz w:val="32"/>
          <w:szCs w:val="32"/>
        </w:rPr>
        <w:t>完善科技产业创新园的软硬件设施，提升科技研发水平</w:t>
      </w:r>
      <w:r>
        <w:rPr>
          <w:rFonts w:hint="eastAsia" w:ascii="仿宋" w:hAnsi="仿宋" w:eastAsia="仿宋"/>
          <w:sz w:val="32"/>
          <w:szCs w:val="32"/>
        </w:rPr>
        <w:t>；</w:t>
      </w:r>
      <w:r>
        <w:rPr>
          <w:rFonts w:hint="eastAsia" w:ascii="仿宋" w:hAnsi="仿宋" w:eastAsia="仿宋"/>
          <w:bCs/>
          <w:sz w:val="32"/>
          <w:szCs w:val="32"/>
        </w:rPr>
        <w:t>以药食同源中药为研发线索，开发安全性高、功效确切的健康食品和健康用品。</w:t>
      </w:r>
    </w:p>
    <w:p>
      <w:pPr>
        <w:tabs>
          <w:tab w:val="left" w:pos="1380"/>
        </w:tabs>
        <w:spacing w:line="560" w:lineRule="exact"/>
        <w:ind w:firstLine="636"/>
        <w:rPr>
          <w:rFonts w:ascii="楷体" w:hAnsi="楷体" w:eastAsia="楷体"/>
          <w:bCs/>
          <w:sz w:val="32"/>
          <w:szCs w:val="32"/>
        </w:rPr>
      </w:pPr>
      <w:r>
        <w:rPr>
          <w:rFonts w:hint="eastAsia" w:ascii="楷体" w:hAnsi="楷体" w:eastAsia="楷体"/>
          <w:bCs/>
          <w:sz w:val="32"/>
          <w:szCs w:val="32"/>
        </w:rPr>
        <w:t>（四）医疗服务方面</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继续做好特色医疗活动，宣传特色专科；积极做好新冠肺炎疫情防控工作；完善加强门诊部管理</w:t>
      </w:r>
      <w:r>
        <w:rPr>
          <w:rFonts w:hint="eastAsia"/>
        </w:rPr>
        <w:t>，</w:t>
      </w:r>
      <w:r>
        <w:rPr>
          <w:rFonts w:hint="eastAsia" w:ascii="仿宋" w:hAnsi="仿宋" w:eastAsia="仿宋" w:cs="仿宋"/>
          <w:sz w:val="32"/>
          <w:szCs w:val="32"/>
        </w:rPr>
        <w:t>提高管理效能；统筹协调资源，做好前期规划</w:t>
      </w:r>
      <w:r>
        <w:rPr>
          <w:rFonts w:hint="eastAsia" w:ascii="仿宋" w:hAnsi="仿宋" w:eastAsia="仿宋"/>
          <w:sz w:val="32"/>
          <w:szCs w:val="32"/>
        </w:rPr>
        <w:t>，全力</w:t>
      </w:r>
      <w:r>
        <w:rPr>
          <w:rFonts w:hint="eastAsia" w:ascii="仿宋" w:hAnsi="仿宋" w:eastAsia="仿宋" w:cs="仿宋"/>
          <w:sz w:val="32"/>
          <w:szCs w:val="32"/>
        </w:rPr>
        <w:t>推进科学院托管鼓楼区医院项目落地。</w:t>
      </w:r>
    </w:p>
    <w:p>
      <w:pPr>
        <w:spacing w:line="560" w:lineRule="exact"/>
        <w:rPr>
          <w:rFonts w:ascii="仿宋" w:hAnsi="仿宋" w:eastAsia="仿宋"/>
          <w:sz w:val="32"/>
          <w:szCs w:val="32"/>
        </w:rPr>
      </w:pPr>
      <w:r>
        <w:rPr>
          <w:rFonts w:hint="eastAsia" w:ascii="仿宋" w:hAnsi="仿宋" w:eastAsia="仿宋"/>
          <w:sz w:val="32"/>
          <w:szCs w:val="32"/>
        </w:rPr>
        <w:t xml:space="preserve">   </w:t>
      </w:r>
    </w:p>
    <w:p>
      <w:pPr>
        <w:spacing w:line="560" w:lineRule="exact"/>
        <w:ind w:firstLine="640" w:firstLineChars="200"/>
        <w:rPr>
          <w:rFonts w:ascii="仿宋" w:hAnsi="仿宋" w:eastAsia="仿宋"/>
          <w:sz w:val="32"/>
          <w:szCs w:val="32"/>
        </w:rPr>
      </w:pPr>
    </w:p>
    <w:p>
      <w:pPr>
        <w:ind w:firstLine="640" w:firstLineChars="200"/>
        <w:rPr>
          <w:rFonts w:ascii="仿宋" w:hAnsi="仿宋" w:eastAsia="仿宋" w:cs="仿宋_GB2312"/>
          <w:sz w:val="32"/>
          <w:szCs w:val="32"/>
        </w:rPr>
      </w:pPr>
    </w:p>
    <w:p>
      <w:pPr>
        <w:pStyle w:val="3"/>
        <w:jc w:val="center"/>
        <w:rPr>
          <w:rFonts w:ascii="黑体" w:hAnsi="黑体" w:eastAsia="黑体"/>
          <w:sz w:val="36"/>
          <w:szCs w:val="36"/>
          <w:lang w:eastAsia="zh-CN"/>
        </w:rPr>
        <w:sectPr>
          <w:pgSz w:w="11906" w:h="16838"/>
          <w:pgMar w:top="1440" w:right="1800" w:bottom="1440" w:left="1800" w:header="851" w:footer="992" w:gutter="0"/>
          <w:cols w:space="425" w:num="1"/>
          <w:docGrid w:type="lines" w:linePitch="312" w:charSpace="0"/>
        </w:sect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2"/>
        <w:ind w:left="1960" w:hanging="1960" w:hangingChars="350"/>
      </w:pPr>
      <w:bookmarkStart w:id="4" w:name="_Toc128561186"/>
      <w:r>
        <w:rPr>
          <w:rFonts w:hint="eastAsia"/>
        </w:rPr>
        <w:t>第二部分</w:t>
      </w:r>
      <w:r>
        <w:t xml:space="preserve"> </w:t>
      </w:r>
      <w:r>
        <w:rPr>
          <w:rFonts w:hint="eastAsia"/>
        </w:rPr>
        <w:br w:type="textWrapping"/>
      </w:r>
      <w:r>
        <w:rPr>
          <w:rFonts w:hint="eastAsia"/>
        </w:rPr>
        <w:t>2023年度部门预算表</w:t>
      </w:r>
      <w:bookmarkEnd w:id="4"/>
    </w:p>
    <w:p>
      <w:pPr>
        <w:tabs>
          <w:tab w:val="left" w:pos="7513"/>
        </w:tabs>
        <w:adjustRightInd w:val="0"/>
        <w:snapToGrid w:val="0"/>
        <w:spacing w:line="600" w:lineRule="exact"/>
        <w:rPr>
          <w:rFonts w:asciiTheme="majorEastAsia" w:hAnsiTheme="majorEastAsia" w:eastAsiaTheme="majorEastAsia"/>
          <w:sz w:val="36"/>
        </w:rPr>
        <w:sectPr>
          <w:pgSz w:w="11906" w:h="16838"/>
          <w:pgMar w:top="1440" w:right="1800" w:bottom="1440" w:left="1800" w:header="851" w:footer="992" w:gutter="0"/>
          <w:cols w:space="425" w:num="1"/>
          <w:docGrid w:type="lines" w:linePitch="312" w:charSpace="0"/>
        </w:sectPr>
      </w:pPr>
    </w:p>
    <w:p>
      <w:pPr>
        <w:pStyle w:val="4"/>
        <w:rPr>
          <w:rFonts w:ascii="楷体" w:hAnsi="楷体" w:eastAsia="楷体"/>
          <w:sz w:val="28"/>
          <w:szCs w:val="28"/>
        </w:rPr>
      </w:pPr>
      <w:bookmarkStart w:id="5" w:name="_Toc128561187"/>
      <w:r>
        <w:rPr>
          <w:rFonts w:hint="eastAsia"/>
        </w:rPr>
        <w:t>一、收支预算总表</w:t>
      </w:r>
      <w:bookmarkEnd w:id="5"/>
    </w:p>
    <w:tbl>
      <w:tblPr>
        <w:tblStyle w:val="10"/>
        <w:tblW w:w="8789" w:type="dxa"/>
        <w:tblInd w:w="-34" w:type="dxa"/>
        <w:tblLayout w:type="autofit"/>
        <w:tblCellMar>
          <w:top w:w="0" w:type="dxa"/>
          <w:left w:w="108" w:type="dxa"/>
          <w:bottom w:w="0" w:type="dxa"/>
          <w:right w:w="108" w:type="dxa"/>
        </w:tblCellMar>
      </w:tblPr>
      <w:tblGrid>
        <w:gridCol w:w="2977"/>
        <w:gridCol w:w="1276"/>
        <w:gridCol w:w="3260"/>
        <w:gridCol w:w="1276"/>
      </w:tblGrid>
      <w:tr>
        <w:tblPrEx>
          <w:tblCellMar>
            <w:top w:w="0" w:type="dxa"/>
            <w:left w:w="108" w:type="dxa"/>
            <w:bottom w:w="0" w:type="dxa"/>
            <w:right w:w="108" w:type="dxa"/>
          </w:tblCellMar>
        </w:tblPrEx>
        <w:trPr>
          <w:trHeight w:val="405" w:hRule="atLeast"/>
        </w:trPr>
        <w:tc>
          <w:tcPr>
            <w:tcW w:w="8789"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2023年度收支预算总表</w:t>
            </w:r>
          </w:p>
        </w:tc>
      </w:tr>
      <w:tr>
        <w:tblPrEx>
          <w:tblCellMar>
            <w:top w:w="0" w:type="dxa"/>
            <w:left w:w="108" w:type="dxa"/>
            <w:bottom w:w="0" w:type="dxa"/>
            <w:right w:w="108" w:type="dxa"/>
          </w:tblCellMar>
        </w:tblPrEx>
        <w:trPr>
          <w:trHeight w:val="285" w:hRule="atLeast"/>
        </w:trPr>
        <w:tc>
          <w:tcPr>
            <w:tcW w:w="8789"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rPr>
              <w:t>单位：万元</w:t>
            </w:r>
          </w:p>
        </w:tc>
      </w:tr>
      <w:tr>
        <w:tblPrEx>
          <w:tblCellMar>
            <w:top w:w="0" w:type="dxa"/>
            <w:left w:w="108" w:type="dxa"/>
            <w:bottom w:w="0" w:type="dxa"/>
            <w:right w:w="108" w:type="dxa"/>
          </w:tblCellMar>
        </w:tblPrEx>
        <w:trPr>
          <w:trHeight w:val="527"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53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9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6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2408.48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四、财政专户管理资金收入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五、事业收入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1915.70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六、事业单位经营收入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3481.61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七、上级补助收入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八、附属单位上缴收入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581.15</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九、其他收入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1738.27</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1762.88</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十、上年结转结余</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Cs w:val="21"/>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17"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236.81</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387"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58"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二十三、其他支出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587"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rPr>
              <w:t>6062.45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rPr>
              <w:t>6062.45　</w:t>
            </w:r>
          </w:p>
        </w:tc>
      </w:tr>
    </w:tbl>
    <w:p>
      <w:pPr>
        <w:widowControl/>
        <w:spacing w:line="300" w:lineRule="auto"/>
        <w:jc w:val="left"/>
        <w:rPr>
          <w:rFonts w:ascii="楷体" w:hAnsi="楷体" w:eastAsia="楷体" w:cs="Times New Roman"/>
          <w:kern w:val="0"/>
          <w:szCs w:val="21"/>
        </w:rPr>
      </w:pPr>
    </w:p>
    <w:p>
      <w:pPr>
        <w:tabs>
          <w:tab w:val="left" w:pos="7513"/>
        </w:tabs>
        <w:adjustRightInd w:val="0"/>
        <w:snapToGrid w:val="0"/>
        <w:spacing w:line="600" w:lineRule="exact"/>
        <w:rPr>
          <w:rFonts w:ascii="楷体" w:hAnsi="楷体" w:eastAsia="楷体" w:cs="Times New Roman"/>
          <w:kern w:val="0"/>
          <w:szCs w:val="21"/>
        </w:rPr>
        <w:sectPr>
          <w:pgSz w:w="11906" w:h="16838"/>
          <w:pgMar w:top="1440" w:right="1800" w:bottom="1440" w:left="1800" w:header="851" w:footer="992" w:gutter="0"/>
          <w:cols w:space="425" w:num="1"/>
          <w:docGrid w:type="lines" w:linePitch="312" w:charSpace="0"/>
        </w:sectPr>
      </w:pPr>
    </w:p>
    <w:p>
      <w:pPr>
        <w:pStyle w:val="4"/>
      </w:pPr>
      <w:bookmarkStart w:id="6" w:name="_Toc128561188"/>
      <w:r>
        <w:rPr>
          <w:rFonts w:hint="eastAsia"/>
        </w:rPr>
        <w:t>二、收入预算总表</w:t>
      </w:r>
      <w:bookmarkEnd w:id="6"/>
      <w:r>
        <w:rPr>
          <w:rFonts w:hint="eastAsia"/>
        </w:rPr>
        <w:t xml:space="preserve">      </w:t>
      </w:r>
    </w:p>
    <w:p>
      <w:pPr>
        <w:tabs>
          <w:tab w:val="left" w:pos="7513"/>
        </w:tabs>
        <w:adjustRightInd w:val="0"/>
        <w:snapToGrid w:val="0"/>
        <w:spacing w:line="600" w:lineRule="exact"/>
        <w:jc w:val="center"/>
        <w:rPr>
          <w:rFonts w:ascii="方正小标宋简体" w:hAnsi="宋体" w:eastAsia="方正小标宋简体" w:cs="宋体"/>
          <w:kern w:val="0"/>
          <w:sz w:val="32"/>
          <w:szCs w:val="32"/>
        </w:rPr>
      </w:pPr>
      <w:r>
        <w:rPr>
          <w:rFonts w:hint="eastAsia" w:ascii="黑体" w:hAnsi="黑体" w:eastAsia="黑体"/>
          <w:sz w:val="32"/>
          <w:szCs w:val="32"/>
        </w:rPr>
        <w:t xml:space="preserve">       </w:t>
      </w:r>
      <w:r>
        <w:rPr>
          <w:rFonts w:hint="eastAsia" w:ascii="方正小标宋简体" w:hAnsi="宋体" w:eastAsia="方正小标宋简体" w:cs="宋体"/>
          <w:kern w:val="0"/>
          <w:sz w:val="32"/>
          <w:szCs w:val="32"/>
        </w:rPr>
        <w:t xml:space="preserve"> 2023年度年度收入预算总表</w:t>
      </w:r>
    </w:p>
    <w:tbl>
      <w:tblPr>
        <w:tblStyle w:val="10"/>
        <w:tblpPr w:leftFromText="180" w:rightFromText="180" w:vertAnchor="text" w:horzAnchor="page" w:tblpX="2131" w:tblpY="1149"/>
        <w:tblOverlap w:val="never"/>
        <w:tblW w:w="13346" w:type="dxa"/>
        <w:tblInd w:w="0" w:type="dxa"/>
        <w:tblLayout w:type="fixed"/>
        <w:tblCellMar>
          <w:top w:w="0" w:type="dxa"/>
          <w:left w:w="108" w:type="dxa"/>
          <w:bottom w:w="0" w:type="dxa"/>
          <w:right w:w="108" w:type="dxa"/>
        </w:tblCellMar>
      </w:tblPr>
      <w:tblGrid>
        <w:gridCol w:w="1228"/>
        <w:gridCol w:w="833"/>
        <w:gridCol w:w="1424"/>
        <w:gridCol w:w="1290"/>
        <w:gridCol w:w="236"/>
        <w:gridCol w:w="1132"/>
        <w:gridCol w:w="1305"/>
        <w:gridCol w:w="1097"/>
        <w:gridCol w:w="974"/>
        <w:gridCol w:w="1127"/>
        <w:gridCol w:w="1428"/>
        <w:gridCol w:w="1272"/>
      </w:tblGrid>
      <w:tr>
        <w:tblPrEx>
          <w:tblCellMar>
            <w:top w:w="0" w:type="dxa"/>
            <w:left w:w="108" w:type="dxa"/>
            <w:bottom w:w="0" w:type="dxa"/>
            <w:right w:w="108" w:type="dxa"/>
          </w:tblCellMar>
        </w:tblPrEx>
        <w:trPr>
          <w:trHeight w:val="283" w:hRule="atLeast"/>
        </w:trPr>
        <w:tc>
          <w:tcPr>
            <w:tcW w:w="2061" w:type="dxa"/>
            <w:gridSpan w:val="2"/>
            <w:tcBorders>
              <w:top w:val="nil"/>
              <w:left w:val="nil"/>
              <w:bottom w:val="single" w:color="auto" w:sz="4" w:space="0"/>
              <w:right w:val="nil"/>
            </w:tcBorders>
            <w:shd w:val="clear" w:color="auto" w:fill="auto"/>
            <w:noWrap/>
            <w:vAlign w:val="bottom"/>
          </w:tcPr>
          <w:p>
            <w:pPr>
              <w:widowControl/>
              <w:adjustRightInd w:val="0"/>
              <w:snapToGrid w:val="0"/>
              <w:spacing w:line="240" w:lineRule="auto"/>
              <w:jc w:val="center"/>
              <w:rPr>
                <w:rFonts w:ascii="宋体" w:hAnsi="宋体" w:eastAsia="宋体" w:cs="宋体"/>
                <w:kern w:val="0"/>
                <w:sz w:val="24"/>
                <w:szCs w:val="24"/>
              </w:rPr>
            </w:pPr>
          </w:p>
        </w:tc>
        <w:tc>
          <w:tcPr>
            <w:tcW w:w="1424" w:type="dxa"/>
            <w:tcBorders>
              <w:top w:val="nil"/>
              <w:left w:val="nil"/>
              <w:bottom w:val="single" w:color="auto" w:sz="4" w:space="0"/>
              <w:right w:val="nil"/>
            </w:tcBorders>
            <w:shd w:val="clear" w:color="auto" w:fill="auto"/>
            <w:noWrap/>
            <w:vAlign w:val="bottom"/>
          </w:tcPr>
          <w:p>
            <w:pPr>
              <w:widowControl/>
              <w:adjustRightInd w:val="0"/>
              <w:snapToGrid w:val="0"/>
              <w:spacing w:line="240" w:lineRule="auto"/>
              <w:jc w:val="center"/>
              <w:rPr>
                <w:rFonts w:ascii="宋体" w:hAnsi="宋体" w:eastAsia="宋体" w:cs="宋体"/>
                <w:kern w:val="0"/>
                <w:sz w:val="24"/>
                <w:szCs w:val="24"/>
              </w:rPr>
            </w:pPr>
          </w:p>
        </w:tc>
        <w:tc>
          <w:tcPr>
            <w:tcW w:w="1290" w:type="dxa"/>
            <w:tcBorders>
              <w:top w:val="nil"/>
              <w:left w:val="nil"/>
              <w:bottom w:val="single" w:color="auto" w:sz="4" w:space="0"/>
              <w:right w:val="nil"/>
            </w:tcBorders>
            <w:shd w:val="clear" w:color="auto" w:fill="auto"/>
            <w:vAlign w:val="center"/>
          </w:tcPr>
          <w:p>
            <w:pPr>
              <w:widowControl/>
              <w:adjustRightInd w:val="0"/>
              <w:snapToGrid w:val="0"/>
              <w:spacing w:line="240" w:lineRule="auto"/>
              <w:jc w:val="center"/>
              <w:rPr>
                <w:rFonts w:ascii="黑体" w:hAnsi="黑体" w:eastAsia="黑体" w:cs="宋体"/>
                <w:kern w:val="0"/>
                <w:sz w:val="40"/>
                <w:szCs w:val="40"/>
              </w:rPr>
            </w:pPr>
          </w:p>
        </w:tc>
        <w:tc>
          <w:tcPr>
            <w:tcW w:w="236" w:type="dxa"/>
            <w:tcBorders>
              <w:top w:val="nil"/>
              <w:left w:val="nil"/>
              <w:bottom w:val="single" w:color="auto" w:sz="4" w:space="0"/>
              <w:right w:val="nil"/>
            </w:tcBorders>
            <w:shd w:val="clear" w:color="auto" w:fill="auto"/>
            <w:vAlign w:val="center"/>
          </w:tcPr>
          <w:p>
            <w:pPr>
              <w:widowControl/>
              <w:adjustRightInd w:val="0"/>
              <w:snapToGrid w:val="0"/>
              <w:spacing w:line="240" w:lineRule="auto"/>
              <w:jc w:val="center"/>
              <w:rPr>
                <w:rFonts w:ascii="宋体" w:hAnsi="宋体" w:eastAsia="宋体" w:cs="宋体"/>
                <w:kern w:val="0"/>
                <w:sz w:val="24"/>
                <w:szCs w:val="24"/>
              </w:rPr>
            </w:pPr>
          </w:p>
        </w:tc>
        <w:tc>
          <w:tcPr>
            <w:tcW w:w="2437" w:type="dxa"/>
            <w:gridSpan w:val="2"/>
            <w:tcBorders>
              <w:top w:val="nil"/>
              <w:left w:val="nil"/>
              <w:bottom w:val="single" w:color="auto" w:sz="4" w:space="0"/>
              <w:right w:val="nil"/>
            </w:tcBorders>
          </w:tcPr>
          <w:p>
            <w:pPr>
              <w:widowControl/>
              <w:adjustRightInd w:val="0"/>
              <w:snapToGrid w:val="0"/>
              <w:spacing w:line="240" w:lineRule="auto"/>
              <w:jc w:val="center"/>
              <w:rPr>
                <w:rFonts w:ascii="宋体" w:hAnsi="宋体" w:eastAsia="宋体" w:cs="宋体"/>
                <w:kern w:val="0"/>
                <w:sz w:val="22"/>
              </w:rPr>
            </w:pPr>
          </w:p>
        </w:tc>
        <w:tc>
          <w:tcPr>
            <w:tcW w:w="1097" w:type="dxa"/>
            <w:tcBorders>
              <w:top w:val="nil"/>
              <w:left w:val="nil"/>
              <w:bottom w:val="single" w:color="auto" w:sz="4" w:space="0"/>
              <w:right w:val="nil"/>
            </w:tcBorders>
          </w:tcPr>
          <w:p>
            <w:pPr>
              <w:widowControl/>
              <w:adjustRightInd w:val="0"/>
              <w:snapToGrid w:val="0"/>
              <w:spacing w:line="240" w:lineRule="auto"/>
              <w:jc w:val="center"/>
              <w:rPr>
                <w:rFonts w:ascii="宋体" w:hAnsi="宋体" w:eastAsia="宋体" w:cs="宋体"/>
                <w:kern w:val="0"/>
                <w:sz w:val="22"/>
              </w:rPr>
            </w:pPr>
          </w:p>
        </w:tc>
        <w:tc>
          <w:tcPr>
            <w:tcW w:w="974" w:type="dxa"/>
            <w:tcBorders>
              <w:top w:val="nil"/>
              <w:left w:val="nil"/>
              <w:bottom w:val="single" w:color="auto" w:sz="4" w:space="0"/>
              <w:right w:val="nil"/>
            </w:tcBorders>
          </w:tcPr>
          <w:p>
            <w:pPr>
              <w:widowControl/>
              <w:adjustRightInd w:val="0"/>
              <w:snapToGrid w:val="0"/>
              <w:spacing w:line="240" w:lineRule="auto"/>
              <w:jc w:val="center"/>
              <w:rPr>
                <w:rFonts w:ascii="宋体" w:hAnsi="宋体" w:eastAsia="宋体" w:cs="宋体"/>
                <w:kern w:val="0"/>
                <w:sz w:val="22"/>
              </w:rPr>
            </w:pPr>
          </w:p>
        </w:tc>
        <w:tc>
          <w:tcPr>
            <w:tcW w:w="1127" w:type="dxa"/>
            <w:tcBorders>
              <w:top w:val="nil"/>
              <w:left w:val="nil"/>
              <w:bottom w:val="single" w:color="auto" w:sz="4" w:space="0"/>
              <w:right w:val="nil"/>
            </w:tcBorders>
          </w:tcPr>
          <w:p>
            <w:pPr>
              <w:widowControl/>
              <w:adjustRightInd w:val="0"/>
              <w:snapToGrid w:val="0"/>
              <w:spacing w:line="240" w:lineRule="auto"/>
              <w:jc w:val="center"/>
              <w:rPr>
                <w:rFonts w:ascii="宋体" w:hAnsi="宋体" w:eastAsia="宋体" w:cs="宋体"/>
                <w:kern w:val="0"/>
                <w:sz w:val="22"/>
              </w:rPr>
            </w:pPr>
          </w:p>
        </w:tc>
        <w:tc>
          <w:tcPr>
            <w:tcW w:w="2700" w:type="dxa"/>
            <w:gridSpan w:val="2"/>
            <w:tcBorders>
              <w:top w:val="nil"/>
              <w:left w:val="nil"/>
              <w:bottom w:val="single" w:color="auto" w:sz="4" w:space="0"/>
              <w:right w:val="nil"/>
            </w:tcBorders>
            <w:shd w:val="clear" w:color="auto" w:fill="auto"/>
            <w:noWrap/>
            <w:vAlign w:val="center"/>
          </w:tcPr>
          <w:p>
            <w:pPr>
              <w:widowControl/>
              <w:wordWrap w:val="0"/>
              <w:adjustRightInd w:val="0"/>
              <w:snapToGrid w:val="0"/>
              <w:spacing w:line="240" w:lineRule="auto"/>
              <w:jc w:val="center"/>
              <w:rPr>
                <w:rFonts w:ascii="宋体" w:hAnsi="宋体" w:eastAsia="宋体" w:cs="宋体"/>
                <w:kern w:val="0"/>
                <w:sz w:val="22"/>
              </w:rPr>
            </w:pPr>
            <w:r>
              <w:rPr>
                <w:rFonts w:hint="eastAsia" w:ascii="宋体" w:hAnsi="宋体" w:eastAsia="宋体" w:cs="宋体"/>
                <w:kern w:val="0"/>
                <w:sz w:val="22"/>
              </w:rPr>
              <w:t xml:space="preserve">            单位：万元 </w:t>
            </w:r>
          </w:p>
        </w:tc>
      </w:tr>
      <w:tr>
        <w:tblPrEx>
          <w:tblCellMar>
            <w:top w:w="0" w:type="dxa"/>
            <w:left w:w="108" w:type="dxa"/>
            <w:bottom w:w="0" w:type="dxa"/>
            <w:right w:w="108" w:type="dxa"/>
          </w:tblCellMar>
        </w:tblPrEx>
        <w:trPr>
          <w:trHeight w:val="966" w:hRule="atLeast"/>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2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总计</w:t>
            </w:r>
          </w:p>
        </w:tc>
        <w:tc>
          <w:tcPr>
            <w:tcW w:w="136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一般公共预算拨款收入</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事业收入</w:t>
            </w: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事业单位经营收入</w:t>
            </w: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上级补助收入</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附属单位上缴收入</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其他收入</w:t>
            </w:r>
          </w:p>
        </w:tc>
        <w:tc>
          <w:tcPr>
            <w:tcW w:w="127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上年结转结余</w:t>
            </w:r>
          </w:p>
        </w:tc>
      </w:tr>
      <w:tr>
        <w:tblPrEx>
          <w:tblCellMar>
            <w:top w:w="0" w:type="dxa"/>
            <w:left w:w="108" w:type="dxa"/>
            <w:bottom w:w="0" w:type="dxa"/>
            <w:right w:w="108" w:type="dxa"/>
          </w:tblCellMar>
        </w:tblPrEx>
        <w:trPr>
          <w:trHeight w:val="523" w:hRule="atLeast"/>
        </w:trPr>
        <w:tc>
          <w:tcPr>
            <w:tcW w:w="348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6062.45</w:t>
            </w:r>
          </w:p>
        </w:tc>
        <w:tc>
          <w:tcPr>
            <w:tcW w:w="1368"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2408.48</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1915.7</w:t>
            </w: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1738.27</w:t>
            </w: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63"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206</w:t>
            </w:r>
          </w:p>
        </w:tc>
        <w:tc>
          <w:tcPr>
            <w:tcW w:w="225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科学技术支出</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3481.61</w:t>
            </w:r>
          </w:p>
        </w:tc>
        <w:tc>
          <w:tcPr>
            <w:tcW w:w="1368"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1649.64</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720.7</w:t>
            </w: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1111.27</w:t>
            </w: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523"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20602</w:t>
            </w:r>
          </w:p>
        </w:tc>
        <w:tc>
          <w:tcPr>
            <w:tcW w:w="2257" w:type="dxa"/>
            <w:gridSpan w:val="2"/>
            <w:tcBorders>
              <w:top w:val="nil"/>
              <w:left w:val="nil"/>
              <w:bottom w:val="single" w:color="auto" w:sz="4" w:space="0"/>
              <w:right w:val="single" w:color="auto" w:sz="4" w:space="0"/>
            </w:tcBorders>
            <w:shd w:val="clear" w:color="auto" w:fill="auto"/>
            <w:vAlign w:val="center"/>
          </w:tcPr>
          <w:p>
            <w:pPr>
              <w:widowControl/>
              <w:ind w:firstLine="221" w:firstLineChars="100"/>
              <w:jc w:val="left"/>
              <w:textAlignment w:val="center"/>
              <w:rPr>
                <w:rFonts w:ascii="宋体" w:hAnsi="宋体" w:eastAsia="宋体" w:cs="宋体"/>
                <w:kern w:val="0"/>
                <w:sz w:val="22"/>
              </w:rPr>
            </w:pPr>
            <w:r>
              <w:rPr>
                <w:rFonts w:ascii="宋体" w:hAnsi="宋体" w:eastAsia="宋体" w:cs="宋体"/>
                <w:b/>
                <w:bCs/>
                <w:color w:val="000000"/>
                <w:kern w:val="0"/>
                <w:sz w:val="22"/>
                <w:lang w:bidi="ar"/>
              </w:rPr>
              <w:t>基础研究</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2485.61</w:t>
            </w:r>
          </w:p>
        </w:tc>
        <w:tc>
          <w:tcPr>
            <w:tcW w:w="1368"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1649.64</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440.7</w:t>
            </w: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395.27</w:t>
            </w: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63"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22"/>
                <w:lang w:bidi="ar"/>
              </w:rPr>
              <w:t>2060201</w:t>
            </w:r>
          </w:p>
        </w:tc>
        <w:tc>
          <w:tcPr>
            <w:tcW w:w="2257" w:type="dxa"/>
            <w:gridSpan w:val="2"/>
            <w:tcBorders>
              <w:top w:val="nil"/>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kern w:val="0"/>
                <w:sz w:val="22"/>
              </w:rPr>
            </w:pPr>
            <w:r>
              <w:rPr>
                <w:rFonts w:ascii="宋体" w:hAnsi="宋体" w:eastAsia="宋体" w:cs="宋体"/>
                <w:color w:val="000000"/>
                <w:kern w:val="0"/>
                <w:sz w:val="22"/>
                <w:lang w:bidi="ar"/>
              </w:rPr>
              <w:t>机构运行</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2065.61</w:t>
            </w:r>
          </w:p>
        </w:tc>
        <w:tc>
          <w:tcPr>
            <w:tcW w:w="1368"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1649.64</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140.7</w:t>
            </w: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275.27</w:t>
            </w: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6"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22"/>
                <w:lang w:bidi="ar"/>
              </w:rPr>
              <w:t>2060203</w:t>
            </w:r>
          </w:p>
        </w:tc>
        <w:tc>
          <w:tcPr>
            <w:tcW w:w="2257" w:type="dxa"/>
            <w:gridSpan w:val="2"/>
            <w:tcBorders>
              <w:top w:val="nil"/>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kern w:val="0"/>
                <w:sz w:val="22"/>
              </w:rPr>
            </w:pPr>
            <w:r>
              <w:rPr>
                <w:rFonts w:ascii="宋体" w:hAnsi="宋体" w:eastAsia="宋体" w:cs="宋体"/>
                <w:color w:val="000000"/>
                <w:kern w:val="0"/>
                <w:sz w:val="22"/>
                <w:lang w:bidi="ar"/>
              </w:rPr>
              <w:t>自然科学基金</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120</w:t>
            </w:r>
          </w:p>
        </w:tc>
        <w:tc>
          <w:tcPr>
            <w:tcW w:w="1368"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0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120</w:t>
            </w: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387"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22"/>
                <w:lang w:bidi="ar"/>
              </w:rPr>
              <w:t>2060299</w:t>
            </w:r>
          </w:p>
        </w:tc>
        <w:tc>
          <w:tcPr>
            <w:tcW w:w="2257" w:type="dxa"/>
            <w:gridSpan w:val="2"/>
            <w:tcBorders>
              <w:top w:val="nil"/>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kern w:val="0"/>
                <w:sz w:val="22"/>
              </w:rPr>
            </w:pPr>
            <w:r>
              <w:rPr>
                <w:rFonts w:ascii="宋体" w:hAnsi="宋体" w:eastAsia="宋体" w:cs="宋体"/>
                <w:color w:val="000000"/>
                <w:kern w:val="0"/>
                <w:sz w:val="22"/>
                <w:lang w:bidi="ar"/>
              </w:rPr>
              <w:t>其他基础研究支出</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300</w:t>
            </w:r>
          </w:p>
        </w:tc>
        <w:tc>
          <w:tcPr>
            <w:tcW w:w="1368"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300</w:t>
            </w: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4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20603</w:t>
            </w:r>
          </w:p>
        </w:tc>
        <w:tc>
          <w:tcPr>
            <w:tcW w:w="2257" w:type="dxa"/>
            <w:gridSpan w:val="2"/>
            <w:tcBorders>
              <w:top w:val="nil"/>
              <w:left w:val="nil"/>
              <w:bottom w:val="single" w:color="auto" w:sz="4" w:space="0"/>
              <w:right w:val="single" w:color="auto" w:sz="4" w:space="0"/>
            </w:tcBorders>
            <w:shd w:val="clear" w:color="auto" w:fill="auto"/>
            <w:vAlign w:val="center"/>
          </w:tcPr>
          <w:p>
            <w:pPr>
              <w:widowControl/>
              <w:ind w:firstLine="221" w:firstLineChars="100"/>
              <w:jc w:val="left"/>
              <w:textAlignment w:val="center"/>
              <w:rPr>
                <w:rFonts w:ascii="宋体" w:hAnsi="宋体" w:eastAsia="宋体" w:cs="宋体"/>
                <w:kern w:val="0"/>
                <w:sz w:val="22"/>
              </w:rPr>
            </w:pPr>
            <w:r>
              <w:rPr>
                <w:rFonts w:ascii="宋体" w:hAnsi="宋体" w:eastAsia="宋体" w:cs="宋体"/>
                <w:b/>
                <w:bCs/>
                <w:color w:val="000000"/>
                <w:kern w:val="0"/>
                <w:sz w:val="22"/>
                <w:lang w:bidi="ar"/>
              </w:rPr>
              <w:t>应用研究</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180</w:t>
            </w:r>
          </w:p>
        </w:tc>
        <w:tc>
          <w:tcPr>
            <w:tcW w:w="1368"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0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180</w:t>
            </w: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63"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22"/>
                <w:lang w:bidi="ar"/>
              </w:rPr>
              <w:t>2060302</w:t>
            </w:r>
          </w:p>
        </w:tc>
        <w:tc>
          <w:tcPr>
            <w:tcW w:w="2257" w:type="dxa"/>
            <w:gridSpan w:val="2"/>
            <w:tcBorders>
              <w:top w:val="nil"/>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kern w:val="0"/>
                <w:sz w:val="22"/>
              </w:rPr>
            </w:pPr>
            <w:r>
              <w:rPr>
                <w:rFonts w:ascii="宋体" w:hAnsi="宋体" w:eastAsia="宋体" w:cs="宋体"/>
                <w:color w:val="000000"/>
                <w:kern w:val="0"/>
                <w:sz w:val="22"/>
                <w:lang w:bidi="ar"/>
              </w:rPr>
              <w:t>社会公益研究</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180</w:t>
            </w:r>
          </w:p>
        </w:tc>
        <w:tc>
          <w:tcPr>
            <w:tcW w:w="1368"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0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180</w:t>
            </w: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514" w:hRule="atLeast"/>
        </w:trPr>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20604</w:t>
            </w:r>
          </w:p>
        </w:tc>
        <w:tc>
          <w:tcPr>
            <w:tcW w:w="2257"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221" w:firstLineChars="100"/>
              <w:jc w:val="left"/>
              <w:textAlignment w:val="center"/>
              <w:rPr>
                <w:rFonts w:ascii="宋体" w:hAnsi="宋体" w:eastAsia="宋体" w:cs="宋体"/>
                <w:kern w:val="0"/>
                <w:sz w:val="22"/>
              </w:rPr>
            </w:pPr>
            <w:r>
              <w:rPr>
                <w:rFonts w:ascii="宋体" w:hAnsi="宋体" w:eastAsia="宋体" w:cs="宋体"/>
                <w:b/>
                <w:bCs/>
                <w:color w:val="000000"/>
                <w:kern w:val="0"/>
                <w:sz w:val="22"/>
                <w:lang w:bidi="ar"/>
              </w:rPr>
              <w:t>技术研究与开发</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280</w:t>
            </w:r>
          </w:p>
        </w:tc>
        <w:tc>
          <w:tcPr>
            <w:tcW w:w="1368"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280</w:t>
            </w: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27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613" w:hRule="atLeast"/>
        </w:trPr>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22"/>
                <w:lang w:bidi="ar"/>
              </w:rPr>
              <w:t>2060499</w:t>
            </w:r>
          </w:p>
        </w:tc>
        <w:tc>
          <w:tcPr>
            <w:tcW w:w="2257"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kern w:val="0"/>
                <w:sz w:val="22"/>
              </w:rPr>
            </w:pPr>
            <w:r>
              <w:rPr>
                <w:rFonts w:ascii="宋体" w:hAnsi="宋体" w:eastAsia="宋体" w:cs="宋体"/>
                <w:color w:val="000000"/>
                <w:kern w:val="0"/>
                <w:sz w:val="22"/>
                <w:lang w:bidi="ar"/>
              </w:rPr>
              <w:t>其他技术研究与开发支出</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280</w:t>
            </w:r>
          </w:p>
        </w:tc>
        <w:tc>
          <w:tcPr>
            <w:tcW w:w="1368"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280</w:t>
            </w: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27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95"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20605</w:t>
            </w:r>
          </w:p>
        </w:tc>
        <w:tc>
          <w:tcPr>
            <w:tcW w:w="2257" w:type="dxa"/>
            <w:gridSpan w:val="2"/>
            <w:tcBorders>
              <w:top w:val="nil"/>
              <w:left w:val="nil"/>
              <w:bottom w:val="single" w:color="auto" w:sz="4" w:space="0"/>
              <w:right w:val="single" w:color="auto" w:sz="4" w:space="0"/>
            </w:tcBorders>
            <w:shd w:val="clear" w:color="auto" w:fill="auto"/>
            <w:vAlign w:val="center"/>
          </w:tcPr>
          <w:p>
            <w:pPr>
              <w:widowControl/>
              <w:ind w:firstLine="221" w:firstLineChars="100"/>
              <w:jc w:val="left"/>
              <w:textAlignment w:val="center"/>
              <w:rPr>
                <w:rFonts w:ascii="宋体" w:hAnsi="宋体" w:eastAsia="宋体" w:cs="宋体"/>
                <w:kern w:val="0"/>
                <w:sz w:val="22"/>
              </w:rPr>
            </w:pPr>
            <w:r>
              <w:rPr>
                <w:rFonts w:ascii="宋体" w:hAnsi="宋体" w:eastAsia="宋体" w:cs="宋体"/>
                <w:b/>
                <w:bCs/>
                <w:color w:val="000000"/>
                <w:kern w:val="0"/>
                <w:sz w:val="22"/>
                <w:lang w:bidi="ar"/>
              </w:rPr>
              <w:t>科技条件与服务</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530</w:t>
            </w:r>
          </w:p>
        </w:tc>
        <w:tc>
          <w:tcPr>
            <w:tcW w:w="1368"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0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530</w:t>
            </w: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528" w:hRule="atLeast"/>
        </w:trPr>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22"/>
                <w:lang w:bidi="ar"/>
              </w:rPr>
              <w:t>2060503</w:t>
            </w:r>
          </w:p>
        </w:tc>
        <w:tc>
          <w:tcPr>
            <w:tcW w:w="2257"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kern w:val="0"/>
                <w:sz w:val="22"/>
              </w:rPr>
            </w:pPr>
            <w:r>
              <w:rPr>
                <w:rFonts w:ascii="宋体" w:hAnsi="宋体" w:eastAsia="宋体" w:cs="宋体"/>
                <w:color w:val="000000"/>
                <w:kern w:val="0"/>
                <w:sz w:val="22"/>
                <w:lang w:bidi="ar"/>
              </w:rPr>
              <w:t>科技条件专项</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400</w:t>
            </w:r>
          </w:p>
        </w:tc>
        <w:tc>
          <w:tcPr>
            <w:tcW w:w="1368"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0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400</w:t>
            </w:r>
          </w:p>
        </w:tc>
        <w:tc>
          <w:tcPr>
            <w:tcW w:w="127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613"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22"/>
                <w:lang w:bidi="ar"/>
              </w:rPr>
              <w:t>2060599</w:t>
            </w:r>
          </w:p>
        </w:tc>
        <w:tc>
          <w:tcPr>
            <w:tcW w:w="2257" w:type="dxa"/>
            <w:gridSpan w:val="2"/>
            <w:tcBorders>
              <w:top w:val="nil"/>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kern w:val="0"/>
                <w:sz w:val="22"/>
              </w:rPr>
            </w:pPr>
            <w:r>
              <w:rPr>
                <w:rFonts w:ascii="宋体" w:hAnsi="宋体" w:eastAsia="宋体" w:cs="宋体"/>
                <w:color w:val="000000"/>
                <w:kern w:val="0"/>
                <w:sz w:val="22"/>
                <w:lang w:bidi="ar"/>
              </w:rPr>
              <w:t>其他科技条件与服务支出</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130</w:t>
            </w:r>
          </w:p>
        </w:tc>
        <w:tc>
          <w:tcPr>
            <w:tcW w:w="1368"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0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130</w:t>
            </w: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523"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20699</w:t>
            </w:r>
          </w:p>
        </w:tc>
        <w:tc>
          <w:tcPr>
            <w:tcW w:w="2257" w:type="dxa"/>
            <w:gridSpan w:val="2"/>
            <w:tcBorders>
              <w:top w:val="nil"/>
              <w:left w:val="nil"/>
              <w:bottom w:val="single" w:color="auto" w:sz="4" w:space="0"/>
              <w:right w:val="single" w:color="auto" w:sz="4" w:space="0"/>
            </w:tcBorders>
            <w:shd w:val="clear" w:color="auto" w:fill="auto"/>
            <w:vAlign w:val="center"/>
          </w:tcPr>
          <w:p>
            <w:pPr>
              <w:widowControl/>
              <w:ind w:firstLine="221" w:firstLineChars="100"/>
              <w:jc w:val="left"/>
              <w:textAlignment w:val="center"/>
              <w:rPr>
                <w:rFonts w:ascii="宋体" w:hAnsi="宋体" w:eastAsia="宋体" w:cs="宋体"/>
                <w:kern w:val="0"/>
                <w:sz w:val="22"/>
              </w:rPr>
            </w:pPr>
            <w:r>
              <w:rPr>
                <w:rFonts w:ascii="宋体" w:hAnsi="宋体" w:eastAsia="宋体" w:cs="宋体"/>
                <w:b/>
                <w:bCs/>
                <w:color w:val="000000"/>
                <w:kern w:val="0"/>
                <w:sz w:val="22"/>
                <w:lang w:bidi="ar"/>
              </w:rPr>
              <w:t>其他科学技术支出</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6</w:t>
            </w:r>
          </w:p>
        </w:tc>
        <w:tc>
          <w:tcPr>
            <w:tcW w:w="1368"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0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6</w:t>
            </w: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613"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22"/>
                <w:lang w:bidi="ar"/>
              </w:rPr>
              <w:t>2069999</w:t>
            </w:r>
          </w:p>
        </w:tc>
        <w:tc>
          <w:tcPr>
            <w:tcW w:w="2257" w:type="dxa"/>
            <w:gridSpan w:val="2"/>
            <w:tcBorders>
              <w:top w:val="nil"/>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kern w:val="0"/>
                <w:sz w:val="22"/>
              </w:rPr>
            </w:pPr>
            <w:r>
              <w:rPr>
                <w:rFonts w:ascii="宋体" w:hAnsi="宋体" w:eastAsia="宋体" w:cs="宋体"/>
                <w:color w:val="000000"/>
                <w:kern w:val="0"/>
                <w:sz w:val="22"/>
                <w:lang w:bidi="ar"/>
              </w:rPr>
              <w:t>其他科学技术支出</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6</w:t>
            </w:r>
          </w:p>
        </w:tc>
        <w:tc>
          <w:tcPr>
            <w:tcW w:w="1368"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0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6</w:t>
            </w: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53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208</w:t>
            </w:r>
          </w:p>
        </w:tc>
        <w:tc>
          <w:tcPr>
            <w:tcW w:w="225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社会保障和就业支出</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581.15</w:t>
            </w:r>
          </w:p>
        </w:tc>
        <w:tc>
          <w:tcPr>
            <w:tcW w:w="1368"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454.15</w:t>
            </w:r>
          </w:p>
        </w:tc>
        <w:tc>
          <w:tcPr>
            <w:tcW w:w="130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127</w:t>
            </w: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613"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20805</w:t>
            </w:r>
          </w:p>
        </w:tc>
        <w:tc>
          <w:tcPr>
            <w:tcW w:w="2257" w:type="dxa"/>
            <w:gridSpan w:val="2"/>
            <w:tcBorders>
              <w:top w:val="nil"/>
              <w:left w:val="nil"/>
              <w:bottom w:val="single" w:color="auto" w:sz="4" w:space="0"/>
              <w:right w:val="single" w:color="auto" w:sz="4" w:space="0"/>
            </w:tcBorders>
            <w:shd w:val="clear" w:color="auto" w:fill="auto"/>
            <w:vAlign w:val="center"/>
          </w:tcPr>
          <w:p>
            <w:pPr>
              <w:widowControl/>
              <w:ind w:firstLine="221" w:firstLineChars="100"/>
              <w:jc w:val="left"/>
              <w:textAlignment w:val="center"/>
              <w:rPr>
                <w:rFonts w:ascii="宋体" w:hAnsi="宋体" w:eastAsia="宋体" w:cs="宋体"/>
                <w:kern w:val="0"/>
                <w:sz w:val="22"/>
              </w:rPr>
            </w:pPr>
            <w:r>
              <w:rPr>
                <w:rFonts w:ascii="宋体" w:hAnsi="宋体" w:eastAsia="宋体" w:cs="宋体"/>
                <w:b/>
                <w:bCs/>
                <w:color w:val="000000"/>
                <w:kern w:val="0"/>
                <w:sz w:val="22"/>
                <w:lang w:bidi="ar"/>
              </w:rPr>
              <w:t>行政事业单位养老支出</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581.15</w:t>
            </w:r>
          </w:p>
        </w:tc>
        <w:tc>
          <w:tcPr>
            <w:tcW w:w="1368"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454.15</w:t>
            </w:r>
          </w:p>
        </w:tc>
        <w:tc>
          <w:tcPr>
            <w:tcW w:w="130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127</w:t>
            </w: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75"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22"/>
                <w:lang w:bidi="ar"/>
              </w:rPr>
              <w:t>2080502</w:t>
            </w:r>
          </w:p>
        </w:tc>
        <w:tc>
          <w:tcPr>
            <w:tcW w:w="2257" w:type="dxa"/>
            <w:gridSpan w:val="2"/>
            <w:tcBorders>
              <w:top w:val="nil"/>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kern w:val="0"/>
                <w:sz w:val="22"/>
              </w:rPr>
            </w:pPr>
            <w:r>
              <w:rPr>
                <w:rFonts w:ascii="宋体" w:hAnsi="宋体" w:eastAsia="宋体" w:cs="宋体"/>
                <w:color w:val="000000"/>
                <w:kern w:val="0"/>
                <w:sz w:val="22"/>
                <w:lang w:bidi="ar"/>
              </w:rPr>
              <w:t>事业单位离退休</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444.43</w:t>
            </w:r>
          </w:p>
        </w:tc>
        <w:tc>
          <w:tcPr>
            <w:tcW w:w="1368"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317.43</w:t>
            </w:r>
          </w:p>
        </w:tc>
        <w:tc>
          <w:tcPr>
            <w:tcW w:w="130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127</w:t>
            </w: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613"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22"/>
                <w:lang w:bidi="ar"/>
              </w:rPr>
              <w:t>2080505</w:t>
            </w:r>
          </w:p>
        </w:tc>
        <w:tc>
          <w:tcPr>
            <w:tcW w:w="2257" w:type="dxa"/>
            <w:gridSpan w:val="2"/>
            <w:tcBorders>
              <w:top w:val="nil"/>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kern w:val="0"/>
                <w:sz w:val="22"/>
              </w:rPr>
            </w:pPr>
            <w:r>
              <w:rPr>
                <w:rFonts w:ascii="宋体" w:hAnsi="宋体" w:eastAsia="宋体" w:cs="宋体"/>
                <w:color w:val="000000"/>
                <w:kern w:val="0"/>
                <w:sz w:val="22"/>
                <w:lang w:bidi="ar"/>
              </w:rPr>
              <w:t>机关事业单位基本养老保险缴费支出</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136.72</w:t>
            </w:r>
          </w:p>
        </w:tc>
        <w:tc>
          <w:tcPr>
            <w:tcW w:w="1368"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136.72</w:t>
            </w:r>
          </w:p>
        </w:tc>
        <w:tc>
          <w:tcPr>
            <w:tcW w:w="130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531"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b/>
                <w:bCs/>
                <w:color w:val="000000"/>
                <w:kern w:val="0"/>
                <w:sz w:val="22"/>
                <w:lang w:bidi="ar"/>
              </w:rPr>
              <w:t>210</w:t>
            </w:r>
          </w:p>
        </w:tc>
        <w:tc>
          <w:tcPr>
            <w:tcW w:w="225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卫生健康支出</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1762.88</w:t>
            </w:r>
          </w:p>
        </w:tc>
        <w:tc>
          <w:tcPr>
            <w:tcW w:w="1368"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67.88</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1195</w:t>
            </w: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500</w:t>
            </w: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86"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b/>
                <w:bCs/>
                <w:kern w:val="0"/>
                <w:sz w:val="22"/>
              </w:rPr>
              <w:t>21003</w:t>
            </w:r>
          </w:p>
        </w:tc>
        <w:tc>
          <w:tcPr>
            <w:tcW w:w="2257" w:type="dxa"/>
            <w:gridSpan w:val="2"/>
            <w:tcBorders>
              <w:top w:val="nil"/>
              <w:left w:val="nil"/>
              <w:bottom w:val="single" w:color="auto" w:sz="4" w:space="0"/>
              <w:right w:val="single" w:color="auto" w:sz="4" w:space="0"/>
            </w:tcBorders>
            <w:shd w:val="clear" w:color="auto" w:fill="auto"/>
            <w:vAlign w:val="center"/>
          </w:tcPr>
          <w:p>
            <w:pPr>
              <w:widowControl/>
              <w:ind w:firstLine="221" w:firstLineChars="100"/>
              <w:jc w:val="left"/>
              <w:textAlignment w:val="center"/>
              <w:rPr>
                <w:rFonts w:ascii="宋体" w:hAnsi="宋体" w:eastAsia="宋体" w:cs="宋体"/>
                <w:kern w:val="0"/>
                <w:sz w:val="22"/>
              </w:rPr>
            </w:pPr>
            <w:r>
              <w:rPr>
                <w:rFonts w:ascii="宋体" w:hAnsi="宋体" w:eastAsia="宋体" w:cs="宋体"/>
                <w:b/>
                <w:bCs/>
                <w:color w:val="000000"/>
                <w:kern w:val="0"/>
                <w:sz w:val="22"/>
                <w:lang w:bidi="ar"/>
              </w:rPr>
              <w:t>基层医疗卫生机构</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1195</w:t>
            </w:r>
          </w:p>
        </w:tc>
        <w:tc>
          <w:tcPr>
            <w:tcW w:w="1368"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1195</w:t>
            </w: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613" w:hRule="atLeast"/>
        </w:trPr>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kern w:val="0"/>
                <w:sz w:val="22"/>
              </w:rPr>
              <w:t>2100399</w:t>
            </w:r>
          </w:p>
        </w:tc>
        <w:tc>
          <w:tcPr>
            <w:tcW w:w="2257"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kern w:val="0"/>
                <w:sz w:val="22"/>
              </w:rPr>
            </w:pPr>
            <w:r>
              <w:rPr>
                <w:rFonts w:ascii="宋体" w:hAnsi="宋体" w:eastAsia="宋体" w:cs="宋体"/>
                <w:color w:val="000000"/>
                <w:kern w:val="0"/>
                <w:sz w:val="22"/>
                <w:lang w:bidi="ar"/>
              </w:rPr>
              <w:t>其他基层医疗卫生机构支出</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1195</w:t>
            </w:r>
          </w:p>
        </w:tc>
        <w:tc>
          <w:tcPr>
            <w:tcW w:w="13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1195</w:t>
            </w: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p>
        </w:tc>
        <w:tc>
          <w:tcPr>
            <w:tcW w:w="127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617" w:hRule="atLeast"/>
        </w:trPr>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21006</w:t>
            </w:r>
          </w:p>
        </w:tc>
        <w:tc>
          <w:tcPr>
            <w:tcW w:w="2257"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221" w:firstLineChars="100"/>
              <w:jc w:val="left"/>
              <w:textAlignment w:val="center"/>
              <w:rPr>
                <w:rFonts w:ascii="宋体" w:hAnsi="宋体" w:eastAsia="宋体" w:cs="宋体"/>
                <w:kern w:val="0"/>
                <w:sz w:val="22"/>
              </w:rPr>
            </w:pPr>
            <w:r>
              <w:rPr>
                <w:rFonts w:ascii="宋体" w:hAnsi="宋体" w:eastAsia="宋体" w:cs="宋体"/>
                <w:b/>
                <w:bCs/>
                <w:color w:val="000000"/>
                <w:kern w:val="0"/>
                <w:sz w:val="22"/>
                <w:lang w:bidi="ar"/>
              </w:rPr>
              <w:t>中医药</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500</w:t>
            </w:r>
          </w:p>
        </w:tc>
        <w:tc>
          <w:tcPr>
            <w:tcW w:w="13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500</w:t>
            </w:r>
          </w:p>
        </w:tc>
        <w:tc>
          <w:tcPr>
            <w:tcW w:w="127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613"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22"/>
                <w:lang w:bidi="ar"/>
              </w:rPr>
              <w:t>2100601</w:t>
            </w:r>
          </w:p>
        </w:tc>
        <w:tc>
          <w:tcPr>
            <w:tcW w:w="2257" w:type="dxa"/>
            <w:gridSpan w:val="2"/>
            <w:tcBorders>
              <w:top w:val="nil"/>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kern w:val="0"/>
                <w:sz w:val="22"/>
              </w:rPr>
            </w:pPr>
            <w:r>
              <w:rPr>
                <w:rFonts w:ascii="宋体" w:hAnsi="宋体" w:eastAsia="宋体" w:cs="宋体"/>
                <w:color w:val="000000"/>
                <w:kern w:val="0"/>
                <w:sz w:val="22"/>
                <w:lang w:bidi="ar"/>
              </w:rPr>
              <w:t>中医(民族医)药专项</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500</w:t>
            </w:r>
          </w:p>
        </w:tc>
        <w:tc>
          <w:tcPr>
            <w:tcW w:w="1368"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500</w:t>
            </w: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643"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21011</w:t>
            </w:r>
          </w:p>
        </w:tc>
        <w:tc>
          <w:tcPr>
            <w:tcW w:w="2257" w:type="dxa"/>
            <w:gridSpan w:val="2"/>
            <w:tcBorders>
              <w:top w:val="nil"/>
              <w:left w:val="nil"/>
              <w:bottom w:val="single" w:color="auto" w:sz="4" w:space="0"/>
              <w:right w:val="single" w:color="auto" w:sz="4" w:space="0"/>
            </w:tcBorders>
            <w:shd w:val="clear" w:color="auto" w:fill="auto"/>
            <w:vAlign w:val="center"/>
          </w:tcPr>
          <w:p>
            <w:pPr>
              <w:widowControl/>
              <w:ind w:firstLine="221" w:firstLineChars="100"/>
              <w:jc w:val="left"/>
              <w:textAlignment w:val="center"/>
              <w:rPr>
                <w:rFonts w:ascii="宋体" w:hAnsi="宋体" w:eastAsia="宋体" w:cs="宋体"/>
                <w:kern w:val="0"/>
                <w:sz w:val="22"/>
              </w:rPr>
            </w:pPr>
            <w:r>
              <w:rPr>
                <w:rFonts w:ascii="宋体" w:hAnsi="宋体" w:eastAsia="宋体" w:cs="宋体"/>
                <w:b/>
                <w:bCs/>
                <w:color w:val="000000"/>
                <w:kern w:val="0"/>
                <w:sz w:val="22"/>
                <w:lang w:bidi="ar"/>
              </w:rPr>
              <w:t>行政事业单位医疗</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67.88</w:t>
            </w:r>
          </w:p>
        </w:tc>
        <w:tc>
          <w:tcPr>
            <w:tcW w:w="1368"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67.88</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7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22"/>
                <w:lang w:bidi="ar"/>
              </w:rPr>
              <w:t>2101102</w:t>
            </w:r>
          </w:p>
        </w:tc>
        <w:tc>
          <w:tcPr>
            <w:tcW w:w="2257" w:type="dxa"/>
            <w:gridSpan w:val="2"/>
            <w:tcBorders>
              <w:top w:val="nil"/>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kern w:val="0"/>
                <w:sz w:val="22"/>
              </w:rPr>
            </w:pPr>
            <w:r>
              <w:rPr>
                <w:rFonts w:ascii="宋体" w:hAnsi="宋体" w:eastAsia="宋体" w:cs="宋体"/>
                <w:color w:val="000000"/>
                <w:kern w:val="0"/>
                <w:sz w:val="22"/>
                <w:lang w:bidi="ar"/>
              </w:rPr>
              <w:t>事业单位医疗</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67.88</w:t>
            </w:r>
          </w:p>
        </w:tc>
        <w:tc>
          <w:tcPr>
            <w:tcW w:w="1368"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67.88</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523"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221</w:t>
            </w:r>
          </w:p>
        </w:tc>
        <w:tc>
          <w:tcPr>
            <w:tcW w:w="225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住房保障支出</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236.81</w:t>
            </w:r>
          </w:p>
        </w:tc>
        <w:tc>
          <w:tcPr>
            <w:tcW w:w="1368"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236.81</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53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22102</w:t>
            </w:r>
          </w:p>
        </w:tc>
        <w:tc>
          <w:tcPr>
            <w:tcW w:w="2257" w:type="dxa"/>
            <w:gridSpan w:val="2"/>
            <w:tcBorders>
              <w:top w:val="nil"/>
              <w:left w:val="nil"/>
              <w:bottom w:val="single" w:color="auto" w:sz="4" w:space="0"/>
              <w:right w:val="single" w:color="auto" w:sz="4" w:space="0"/>
            </w:tcBorders>
            <w:shd w:val="clear" w:color="auto" w:fill="auto"/>
            <w:vAlign w:val="center"/>
          </w:tcPr>
          <w:p>
            <w:pPr>
              <w:widowControl/>
              <w:ind w:firstLine="221" w:firstLineChars="100"/>
              <w:jc w:val="left"/>
              <w:textAlignment w:val="center"/>
              <w:rPr>
                <w:rFonts w:ascii="宋体" w:hAnsi="宋体" w:eastAsia="宋体" w:cs="宋体"/>
                <w:kern w:val="0"/>
                <w:sz w:val="22"/>
              </w:rPr>
            </w:pPr>
            <w:r>
              <w:rPr>
                <w:rFonts w:ascii="宋体" w:hAnsi="宋体" w:eastAsia="宋体" w:cs="宋体"/>
                <w:b/>
                <w:bCs/>
                <w:color w:val="000000"/>
                <w:kern w:val="0"/>
                <w:sz w:val="22"/>
                <w:lang w:bidi="ar"/>
              </w:rPr>
              <w:t>住房改革支出</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236.81</w:t>
            </w:r>
          </w:p>
        </w:tc>
        <w:tc>
          <w:tcPr>
            <w:tcW w:w="1368"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236.81</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43"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22"/>
                <w:lang w:bidi="ar"/>
              </w:rPr>
              <w:t>2210201</w:t>
            </w:r>
          </w:p>
        </w:tc>
        <w:tc>
          <w:tcPr>
            <w:tcW w:w="2257" w:type="dxa"/>
            <w:gridSpan w:val="2"/>
            <w:tcBorders>
              <w:top w:val="nil"/>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kern w:val="0"/>
                <w:sz w:val="22"/>
              </w:rPr>
            </w:pPr>
            <w:r>
              <w:rPr>
                <w:rFonts w:ascii="宋体" w:hAnsi="宋体" w:eastAsia="宋体" w:cs="宋体"/>
                <w:color w:val="000000"/>
                <w:kern w:val="0"/>
                <w:sz w:val="22"/>
                <w:lang w:bidi="ar"/>
              </w:rPr>
              <w:t>住房公积金</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195.92</w:t>
            </w:r>
          </w:p>
        </w:tc>
        <w:tc>
          <w:tcPr>
            <w:tcW w:w="1368"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195.92</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54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22"/>
                <w:lang w:bidi="ar"/>
              </w:rPr>
              <w:t>2210202</w:t>
            </w:r>
          </w:p>
        </w:tc>
        <w:tc>
          <w:tcPr>
            <w:tcW w:w="2257" w:type="dxa"/>
            <w:gridSpan w:val="2"/>
            <w:tcBorders>
              <w:top w:val="nil"/>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kern w:val="0"/>
                <w:sz w:val="22"/>
              </w:rPr>
            </w:pPr>
            <w:r>
              <w:rPr>
                <w:rFonts w:ascii="宋体" w:hAnsi="宋体" w:eastAsia="宋体" w:cs="宋体"/>
                <w:color w:val="000000"/>
                <w:kern w:val="0"/>
                <w:sz w:val="22"/>
                <w:lang w:bidi="ar"/>
              </w:rPr>
              <w:t>提租补贴</w:t>
            </w:r>
          </w:p>
        </w:tc>
        <w:tc>
          <w:tcPr>
            <w:tcW w:w="129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40.89</w:t>
            </w:r>
          </w:p>
        </w:tc>
        <w:tc>
          <w:tcPr>
            <w:tcW w:w="1368"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40.89</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p>
        </w:tc>
        <w:tc>
          <w:tcPr>
            <w:tcW w:w="127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bl>
    <w:p>
      <w:pPr>
        <w:tabs>
          <w:tab w:val="left" w:pos="7513"/>
        </w:tabs>
        <w:adjustRightInd w:val="0"/>
        <w:snapToGrid w:val="0"/>
        <w:spacing w:line="600" w:lineRule="exact"/>
        <w:ind w:firstLine="5120" w:firstLineChars="1600"/>
        <w:rPr>
          <w:rFonts w:ascii="黑体" w:hAnsi="黑体" w:eastAsia="黑体"/>
          <w:sz w:val="32"/>
          <w:szCs w:val="32"/>
        </w:rPr>
      </w:pPr>
      <w:r>
        <w:rPr>
          <w:rFonts w:hint="eastAsia" w:ascii="黑体" w:hAnsi="黑体" w:eastAsia="黑体"/>
          <w:sz w:val="32"/>
          <w:szCs w:val="32"/>
        </w:rPr>
        <w:t>2</w:t>
      </w: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rPr>
          <w:rFonts w:cs="Times New Roman" w:asciiTheme="majorEastAsia" w:hAnsiTheme="majorEastAsia" w:eastAsiaTheme="majorEastAsia"/>
          <w:sz w:val="36"/>
          <w:szCs w:val="20"/>
        </w:rPr>
      </w:pPr>
      <w:r>
        <w:rPr>
          <w:rFonts w:cs="Times New Roman" w:asciiTheme="majorEastAsia" w:hAnsiTheme="majorEastAsia" w:eastAsiaTheme="majorEastAsia"/>
          <w:sz w:val="36"/>
          <w:szCs w:val="20"/>
        </w:rPr>
        <w:tab/>
      </w:r>
    </w:p>
    <w:p>
      <w:pPr>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pStyle w:val="4"/>
      </w:pPr>
      <w:bookmarkStart w:id="7" w:name="_Toc128561189"/>
      <w:r>
        <w:rPr>
          <w:rFonts w:hint="eastAsia"/>
        </w:rPr>
        <w:t>三、支出预算总表</w:t>
      </w:r>
      <w:bookmarkEnd w:id="7"/>
    </w:p>
    <w:tbl>
      <w:tblPr>
        <w:tblStyle w:val="10"/>
        <w:tblW w:w="13906" w:type="dxa"/>
        <w:tblInd w:w="93" w:type="dxa"/>
        <w:tblLayout w:type="autofit"/>
        <w:tblCellMar>
          <w:top w:w="0" w:type="dxa"/>
          <w:left w:w="108" w:type="dxa"/>
          <w:bottom w:w="0" w:type="dxa"/>
          <w:right w:w="108" w:type="dxa"/>
        </w:tblCellMar>
      </w:tblPr>
      <w:tblGrid>
        <w:gridCol w:w="1433"/>
        <w:gridCol w:w="3118"/>
        <w:gridCol w:w="1559"/>
        <w:gridCol w:w="1559"/>
        <w:gridCol w:w="1560"/>
        <w:gridCol w:w="1559"/>
        <w:gridCol w:w="1559"/>
        <w:gridCol w:w="1559"/>
      </w:tblGrid>
      <w:tr>
        <w:tblPrEx>
          <w:tblCellMar>
            <w:top w:w="0" w:type="dxa"/>
            <w:left w:w="108" w:type="dxa"/>
            <w:bottom w:w="0" w:type="dxa"/>
            <w:right w:w="108" w:type="dxa"/>
          </w:tblCellMar>
        </w:tblPrEx>
        <w:trPr>
          <w:trHeight w:val="641" w:hRule="atLeast"/>
        </w:trPr>
        <w:tc>
          <w:tcPr>
            <w:tcW w:w="13906" w:type="dxa"/>
            <w:gridSpan w:val="8"/>
            <w:tcBorders>
              <w:top w:val="nil"/>
              <w:left w:val="nil"/>
              <w:bottom w:val="single" w:color="auto" w:sz="4" w:space="0"/>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2023年度支出预算总表</w:t>
            </w:r>
          </w:p>
          <w:p>
            <w:pPr>
              <w:widowControl/>
              <w:wordWrap w:val="0"/>
              <w:spacing w:line="240" w:lineRule="auto"/>
              <w:jc w:val="right"/>
              <w:rPr>
                <w:rFonts w:cs="宋体" w:asciiTheme="minorEastAsia" w:hAnsiTheme="minorEastAsia"/>
                <w:kern w:val="0"/>
                <w:sz w:val="20"/>
                <w:szCs w:val="3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trHeight w:val="414" w:hRule="atLeast"/>
        </w:trPr>
        <w:tc>
          <w:tcPr>
            <w:tcW w:w="1433"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118"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559"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基本支出</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项目支出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事业单位经营支出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上缴上级支出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对附属单位补助支出</w:t>
            </w:r>
          </w:p>
        </w:tc>
      </w:tr>
      <w:tr>
        <w:tblPrEx>
          <w:tblCellMar>
            <w:top w:w="0" w:type="dxa"/>
            <w:left w:w="108" w:type="dxa"/>
            <w:bottom w:w="0" w:type="dxa"/>
            <w:right w:w="108" w:type="dxa"/>
          </w:tblCellMar>
        </w:tblPrEx>
        <w:trPr>
          <w:trHeight w:val="402" w:hRule="atLeast"/>
        </w:trPr>
        <w:tc>
          <w:tcPr>
            <w:tcW w:w="4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color w:val="000000"/>
                <w:kern w:val="0"/>
                <w:sz w:val="22"/>
              </w:rPr>
            </w:pPr>
            <w:r>
              <w:rPr>
                <w:rFonts w:hint="eastAsia" w:ascii="宋体" w:hAnsi="宋体" w:eastAsia="宋体" w:cs="宋体"/>
                <w:b/>
                <w:kern w:val="0"/>
                <w:sz w:val="22"/>
              </w:rPr>
              <w:t>合计</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6062.45</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2951.45</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3111</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206</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科学技术支出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3481.61</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2065.61</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1416</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20602</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ind w:firstLine="221" w:firstLineChars="100"/>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基础研究</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2485.61</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2065.61</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420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2060201</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机构运行</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2065.61</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2065.61</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2060203</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自然科学基金</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120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120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2060299</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其他基础研究支出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300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300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20603</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ind w:firstLine="221" w:firstLineChars="100"/>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应用研究</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180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180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2060302</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社会公益研究</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180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180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20604</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ind w:firstLine="221" w:firstLineChars="100"/>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技术研究与开发</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280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280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2060499</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其他技术研究与开发支出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280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280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20605</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ind w:firstLine="221" w:firstLineChars="100"/>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科技条件与服务</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530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530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2060503</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科技条件专项</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400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400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2060599</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其他科技条件与服务支出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130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130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20699</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ind w:firstLine="221" w:firstLineChars="100"/>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其他科学技术支出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6</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6</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2069999</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其他科学技术支出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6</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6</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208</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社会保障和就业支出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581.15</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581.15</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20805</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ind w:firstLine="221" w:firstLineChars="100"/>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行政事业单位养老支出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581.15</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581.15</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2080502</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事业单位离退休</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444.43</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444.43</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2080505</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机关事业单位基本养老保险缴费支出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136.72</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136.72</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210</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卫生健康支出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1762.88</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67.88</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1695</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21003</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ind w:firstLine="221" w:firstLineChars="100"/>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基层医疗卫生机构</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1195</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1195</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51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2100399</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其他基层医疗卫生机构支出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1195</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1195</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21006</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ind w:firstLine="221" w:firstLineChars="100"/>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中医药</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500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500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2100601</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中医(民族医)药专项</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500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500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21011</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ind w:firstLine="221" w:firstLineChars="100"/>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行政事业单位医疗</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67.88</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67.88</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2101102</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eastAsia="宋体" w:cs="宋体"/>
                <w:color w:val="000000"/>
                <w:kern w:val="0"/>
                <w:sz w:val="22"/>
              </w:rPr>
            </w:pPr>
            <w:r>
              <w:rPr>
                <w:rFonts w:ascii="宋体" w:hAnsi="宋体" w:eastAsia="宋体" w:cs="宋体"/>
                <w:color w:val="000000"/>
                <w:kern w:val="0"/>
                <w:sz w:val="22"/>
                <w:lang w:bidi="ar"/>
              </w:rPr>
              <w:t>事业单位医疗</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67.88</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67.88</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221</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b/>
                <w:bCs/>
                <w:color w:val="000000"/>
                <w:kern w:val="0"/>
                <w:sz w:val="22"/>
                <w:lang w:bidi="ar"/>
              </w:rPr>
              <w:t>住房保障支出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236.81</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236.81</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b/>
                <w:bCs/>
                <w:color w:val="000000"/>
                <w:kern w:val="0"/>
                <w:sz w:val="22"/>
                <w:lang w:bidi="ar"/>
              </w:rPr>
              <w:t>22102</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ind w:firstLine="221" w:firstLineChars="100"/>
              <w:jc w:val="left"/>
              <w:textAlignment w:val="center"/>
              <w:rPr>
                <w:rFonts w:ascii="宋体" w:hAnsi="宋体" w:eastAsia="宋体" w:cs="宋体"/>
                <w:kern w:val="0"/>
                <w:sz w:val="24"/>
                <w:szCs w:val="24"/>
              </w:rPr>
            </w:pPr>
            <w:r>
              <w:rPr>
                <w:rFonts w:ascii="宋体" w:hAnsi="宋体" w:eastAsia="宋体" w:cs="宋体"/>
                <w:b/>
                <w:bCs/>
                <w:color w:val="000000"/>
                <w:kern w:val="0"/>
                <w:sz w:val="22"/>
                <w:lang w:bidi="ar"/>
              </w:rPr>
              <w:t>住房改革支出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236.81</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236.81</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22"/>
                <w:lang w:bidi="ar"/>
              </w:rPr>
              <w:t>2210201</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ind w:firstLine="440" w:firstLineChars="200"/>
              <w:jc w:val="left"/>
              <w:textAlignment w:val="center"/>
              <w:rPr>
                <w:rFonts w:ascii="宋体" w:hAnsi="宋体" w:eastAsia="宋体" w:cs="宋体"/>
                <w:kern w:val="0"/>
                <w:sz w:val="24"/>
                <w:szCs w:val="24"/>
              </w:rPr>
            </w:pPr>
            <w:r>
              <w:rPr>
                <w:rFonts w:ascii="宋体" w:hAnsi="宋体" w:eastAsia="宋体" w:cs="宋体"/>
                <w:color w:val="000000"/>
                <w:kern w:val="0"/>
                <w:sz w:val="22"/>
                <w:lang w:bidi="ar"/>
              </w:rPr>
              <w:t>住房公积金</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195.92</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195.92</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22"/>
                <w:lang w:bidi="ar"/>
              </w:rPr>
              <w:t>2210202</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ind w:firstLine="440" w:firstLineChars="200"/>
              <w:jc w:val="left"/>
              <w:textAlignment w:val="center"/>
              <w:rPr>
                <w:rFonts w:ascii="宋体" w:hAnsi="宋体" w:eastAsia="宋体" w:cs="宋体"/>
                <w:kern w:val="0"/>
                <w:sz w:val="24"/>
                <w:szCs w:val="24"/>
              </w:rPr>
            </w:pPr>
            <w:r>
              <w:rPr>
                <w:rFonts w:ascii="宋体" w:hAnsi="宋体" w:eastAsia="宋体" w:cs="宋体"/>
                <w:color w:val="000000"/>
                <w:kern w:val="0"/>
                <w:sz w:val="22"/>
                <w:lang w:bidi="ar"/>
              </w:rPr>
              <w:t>提租补贴</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ascii="宋体" w:hAnsi="宋体" w:eastAsia="宋体" w:cs="宋体"/>
                <w:color w:val="000000"/>
                <w:kern w:val="0"/>
                <w:sz w:val="22"/>
                <w:lang w:bidi="ar"/>
              </w:rPr>
              <w:t>40.89</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ascii="宋体" w:hAnsi="宋体" w:eastAsia="宋体" w:cs="宋体"/>
                <w:color w:val="000000"/>
                <w:kern w:val="0"/>
                <w:sz w:val="22"/>
                <w:lang w:bidi="ar"/>
              </w:rPr>
              <w:t>40.89</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bl>
    <w:p>
      <w:pPr>
        <w:widowControl/>
        <w:spacing w:line="300" w:lineRule="auto"/>
        <w:jc w:val="lef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pStyle w:val="4"/>
      </w:pPr>
      <w:bookmarkStart w:id="8" w:name="_Toc128561190"/>
      <w:r>
        <w:rPr>
          <w:rFonts w:hint="eastAsia"/>
        </w:rPr>
        <w:t>四、财政拨款收支预算总表</w:t>
      </w:r>
      <w:bookmarkEnd w:id="8"/>
    </w:p>
    <w:tbl>
      <w:tblPr>
        <w:tblStyle w:val="10"/>
        <w:tblW w:w="8648" w:type="dxa"/>
        <w:tblInd w:w="-34" w:type="dxa"/>
        <w:tblLayout w:type="autofit"/>
        <w:tblCellMar>
          <w:top w:w="0" w:type="dxa"/>
          <w:left w:w="108" w:type="dxa"/>
          <w:bottom w:w="0" w:type="dxa"/>
          <w:right w:w="108" w:type="dxa"/>
        </w:tblCellMar>
      </w:tblPr>
      <w:tblGrid>
        <w:gridCol w:w="2977"/>
        <w:gridCol w:w="1276"/>
        <w:gridCol w:w="3119"/>
        <w:gridCol w:w="1276"/>
      </w:tblGrid>
      <w:tr>
        <w:tblPrEx>
          <w:tblCellMar>
            <w:top w:w="0" w:type="dxa"/>
            <w:left w:w="108" w:type="dxa"/>
            <w:bottom w:w="0" w:type="dxa"/>
            <w:right w:w="108" w:type="dxa"/>
          </w:tblCellMar>
        </w:tblPrEx>
        <w:trPr>
          <w:trHeight w:val="405" w:hRule="atLeast"/>
        </w:trPr>
        <w:tc>
          <w:tcPr>
            <w:tcW w:w="8648"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2023年度财政拨款收支预算总表</w:t>
            </w:r>
          </w:p>
        </w:tc>
      </w:tr>
      <w:tr>
        <w:tblPrEx>
          <w:tblCellMar>
            <w:top w:w="0" w:type="dxa"/>
            <w:left w:w="108" w:type="dxa"/>
            <w:bottom w:w="0" w:type="dxa"/>
            <w:right w:w="108" w:type="dxa"/>
          </w:tblCellMar>
        </w:tblPrEx>
        <w:trPr>
          <w:trHeight w:val="285" w:hRule="atLeast"/>
        </w:trPr>
        <w:tc>
          <w:tcPr>
            <w:tcW w:w="8648"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3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2408.48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1649.64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454.15</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67.88</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236.81</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58"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二十三、其他支出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rPr>
              <w:t>2408.48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rPr>
              <w:t>2408.48　</w:t>
            </w:r>
          </w:p>
        </w:tc>
      </w:tr>
    </w:tbl>
    <w:p>
      <w:pPr>
        <w:pStyle w:val="4"/>
      </w:pPr>
      <w:bookmarkStart w:id="9" w:name="_Toc128561191"/>
      <w:r>
        <w:rPr>
          <w:rFonts w:hint="eastAsia"/>
        </w:rPr>
        <w:t>五、一般公共预算拨款支出预算表</w:t>
      </w:r>
      <w:bookmarkEnd w:id="9"/>
    </w:p>
    <w:tbl>
      <w:tblPr>
        <w:tblStyle w:val="10"/>
        <w:tblW w:w="8237" w:type="dxa"/>
        <w:tblInd w:w="93" w:type="dxa"/>
        <w:tblLayout w:type="fixed"/>
        <w:tblCellMar>
          <w:top w:w="0" w:type="dxa"/>
          <w:left w:w="108" w:type="dxa"/>
          <w:bottom w:w="0" w:type="dxa"/>
          <w:right w:w="108" w:type="dxa"/>
        </w:tblCellMar>
      </w:tblPr>
      <w:tblGrid>
        <w:gridCol w:w="1281"/>
        <w:gridCol w:w="2805"/>
        <w:gridCol w:w="1365"/>
        <w:gridCol w:w="1560"/>
        <w:gridCol w:w="1226"/>
      </w:tblGrid>
      <w:tr>
        <w:tblPrEx>
          <w:tblCellMar>
            <w:top w:w="0" w:type="dxa"/>
            <w:left w:w="108" w:type="dxa"/>
            <w:bottom w:w="0" w:type="dxa"/>
            <w:right w:w="108" w:type="dxa"/>
          </w:tblCellMar>
        </w:tblPrEx>
        <w:trPr>
          <w:trHeight w:val="405"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2023年度一般公共预算拨款支出预算表</w:t>
            </w:r>
          </w:p>
        </w:tc>
      </w:tr>
      <w:tr>
        <w:tblPrEx>
          <w:tblCellMar>
            <w:top w:w="0" w:type="dxa"/>
            <w:left w:w="108" w:type="dxa"/>
            <w:bottom w:w="0" w:type="dxa"/>
            <w:right w:w="108" w:type="dxa"/>
          </w:tblCellMar>
        </w:tblPrEx>
        <w:trPr>
          <w:trHeight w:val="462" w:hRule="atLeast"/>
        </w:trPr>
        <w:tc>
          <w:tcPr>
            <w:tcW w:w="1281"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805"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365"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60"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226"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28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80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3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78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2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8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22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537" w:hRule="atLeast"/>
        </w:trPr>
        <w:tc>
          <w:tcPr>
            <w:tcW w:w="408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2408.48</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2408.48</w:t>
            </w:r>
          </w:p>
        </w:tc>
        <w:tc>
          <w:tcPr>
            <w:tcW w:w="122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281"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206</w:t>
            </w:r>
          </w:p>
        </w:tc>
        <w:tc>
          <w:tcPr>
            <w:tcW w:w="280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科学技术支出</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lang w:bidi="ar"/>
              </w:rPr>
              <w:t>1649.64</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kern w:val="0"/>
                <w:sz w:val="22"/>
              </w:rPr>
              <w:t>1649.64</w:t>
            </w:r>
          </w:p>
        </w:tc>
        <w:tc>
          <w:tcPr>
            <w:tcW w:w="122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47" w:hRule="atLeast"/>
        </w:trPr>
        <w:tc>
          <w:tcPr>
            <w:tcW w:w="1281"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20602</w:t>
            </w:r>
          </w:p>
        </w:tc>
        <w:tc>
          <w:tcPr>
            <w:tcW w:w="2805" w:type="dxa"/>
            <w:tcBorders>
              <w:top w:val="nil"/>
              <w:left w:val="nil"/>
              <w:bottom w:val="single" w:color="auto" w:sz="4" w:space="0"/>
              <w:right w:val="single" w:color="auto" w:sz="4" w:space="0"/>
            </w:tcBorders>
            <w:shd w:val="clear" w:color="auto" w:fill="auto"/>
            <w:noWrap/>
            <w:vAlign w:val="center"/>
          </w:tcPr>
          <w:p>
            <w:pPr>
              <w:widowControl/>
              <w:ind w:firstLine="221" w:firstLineChars="100"/>
              <w:jc w:val="left"/>
              <w:textAlignment w:val="center"/>
              <w:rPr>
                <w:rFonts w:ascii="宋体" w:hAnsi="宋体" w:eastAsia="宋体" w:cs="宋体"/>
                <w:kern w:val="0"/>
                <w:sz w:val="22"/>
              </w:rPr>
            </w:pPr>
            <w:r>
              <w:rPr>
                <w:rFonts w:ascii="宋体" w:hAnsi="宋体" w:eastAsia="宋体" w:cs="宋体"/>
                <w:b/>
                <w:bCs/>
                <w:color w:val="000000"/>
                <w:kern w:val="0"/>
                <w:sz w:val="22"/>
                <w:lang w:bidi="ar"/>
              </w:rPr>
              <w:t>基础研究</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1649.64</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1649.64</w:t>
            </w:r>
          </w:p>
        </w:tc>
        <w:tc>
          <w:tcPr>
            <w:tcW w:w="122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3" w:hRule="atLeast"/>
        </w:trPr>
        <w:tc>
          <w:tcPr>
            <w:tcW w:w="1281"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22"/>
                <w:lang w:bidi="ar"/>
              </w:rPr>
              <w:t>2060201</w:t>
            </w:r>
          </w:p>
        </w:tc>
        <w:tc>
          <w:tcPr>
            <w:tcW w:w="2805" w:type="dxa"/>
            <w:tcBorders>
              <w:top w:val="nil"/>
              <w:left w:val="nil"/>
              <w:bottom w:val="single" w:color="auto" w:sz="4" w:space="0"/>
              <w:right w:val="single" w:color="auto" w:sz="4" w:space="0"/>
            </w:tcBorders>
            <w:shd w:val="clear" w:color="auto" w:fill="auto"/>
            <w:noWrap/>
            <w:vAlign w:val="center"/>
          </w:tcPr>
          <w:p>
            <w:pPr>
              <w:widowControl/>
              <w:ind w:firstLine="440" w:firstLineChars="200"/>
              <w:jc w:val="left"/>
              <w:textAlignment w:val="center"/>
              <w:rPr>
                <w:rFonts w:ascii="宋体" w:hAnsi="宋体" w:eastAsia="宋体" w:cs="宋体"/>
                <w:kern w:val="0"/>
                <w:sz w:val="22"/>
              </w:rPr>
            </w:pPr>
            <w:r>
              <w:rPr>
                <w:rFonts w:ascii="宋体" w:hAnsi="宋体" w:eastAsia="宋体" w:cs="宋体"/>
                <w:color w:val="000000"/>
                <w:kern w:val="0"/>
                <w:sz w:val="22"/>
                <w:lang w:bidi="ar"/>
              </w:rPr>
              <w:t>机构运行</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1649.64</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1649.64</w:t>
            </w:r>
          </w:p>
        </w:tc>
        <w:tc>
          <w:tcPr>
            <w:tcW w:w="122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281"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208</w:t>
            </w:r>
          </w:p>
        </w:tc>
        <w:tc>
          <w:tcPr>
            <w:tcW w:w="280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社会保障和就业支出</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454.15</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454.15</w:t>
            </w:r>
          </w:p>
        </w:tc>
        <w:tc>
          <w:tcPr>
            <w:tcW w:w="122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281"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20805</w:t>
            </w:r>
          </w:p>
        </w:tc>
        <w:tc>
          <w:tcPr>
            <w:tcW w:w="2805" w:type="dxa"/>
            <w:tcBorders>
              <w:top w:val="nil"/>
              <w:left w:val="nil"/>
              <w:bottom w:val="single" w:color="auto" w:sz="4" w:space="0"/>
              <w:right w:val="single" w:color="auto" w:sz="4" w:space="0"/>
            </w:tcBorders>
            <w:shd w:val="clear" w:color="auto" w:fill="auto"/>
            <w:noWrap/>
            <w:vAlign w:val="center"/>
          </w:tcPr>
          <w:p>
            <w:pPr>
              <w:widowControl/>
              <w:ind w:firstLine="221" w:firstLineChars="100"/>
              <w:jc w:val="left"/>
              <w:textAlignment w:val="center"/>
              <w:rPr>
                <w:rFonts w:ascii="宋体" w:hAnsi="宋体" w:eastAsia="宋体" w:cs="宋体"/>
                <w:kern w:val="0"/>
                <w:sz w:val="22"/>
              </w:rPr>
            </w:pPr>
            <w:r>
              <w:rPr>
                <w:rFonts w:ascii="宋体" w:hAnsi="宋体" w:eastAsia="宋体" w:cs="宋体"/>
                <w:b/>
                <w:bCs/>
                <w:color w:val="000000"/>
                <w:kern w:val="0"/>
                <w:sz w:val="22"/>
                <w:lang w:bidi="ar"/>
              </w:rPr>
              <w:t>行政事业单位养老支出</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454.15</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454.15</w:t>
            </w:r>
          </w:p>
        </w:tc>
        <w:tc>
          <w:tcPr>
            <w:tcW w:w="122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281"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22"/>
                <w:lang w:bidi="ar"/>
              </w:rPr>
              <w:t>2080502</w:t>
            </w:r>
          </w:p>
        </w:tc>
        <w:tc>
          <w:tcPr>
            <w:tcW w:w="2805" w:type="dxa"/>
            <w:tcBorders>
              <w:top w:val="nil"/>
              <w:left w:val="nil"/>
              <w:bottom w:val="single" w:color="auto" w:sz="4" w:space="0"/>
              <w:right w:val="single" w:color="auto" w:sz="4" w:space="0"/>
            </w:tcBorders>
            <w:shd w:val="clear" w:color="auto" w:fill="auto"/>
            <w:noWrap/>
            <w:vAlign w:val="center"/>
          </w:tcPr>
          <w:p>
            <w:pPr>
              <w:widowControl/>
              <w:ind w:firstLine="440" w:firstLineChars="200"/>
              <w:jc w:val="left"/>
              <w:textAlignment w:val="center"/>
              <w:rPr>
                <w:rFonts w:ascii="宋体" w:hAnsi="宋体" w:eastAsia="宋体" w:cs="宋体"/>
                <w:kern w:val="0"/>
                <w:sz w:val="22"/>
              </w:rPr>
            </w:pPr>
            <w:r>
              <w:rPr>
                <w:rFonts w:ascii="宋体" w:hAnsi="宋体" w:eastAsia="宋体" w:cs="宋体"/>
                <w:color w:val="000000"/>
                <w:kern w:val="0"/>
                <w:sz w:val="22"/>
                <w:lang w:bidi="ar"/>
              </w:rPr>
              <w:t>事业单位离退休</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317.43</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317.43</w:t>
            </w:r>
          </w:p>
        </w:tc>
        <w:tc>
          <w:tcPr>
            <w:tcW w:w="122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281"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22"/>
                <w:lang w:bidi="ar"/>
              </w:rPr>
              <w:t>2080505</w:t>
            </w:r>
          </w:p>
        </w:tc>
        <w:tc>
          <w:tcPr>
            <w:tcW w:w="2805" w:type="dxa"/>
            <w:tcBorders>
              <w:top w:val="nil"/>
              <w:left w:val="nil"/>
              <w:bottom w:val="single" w:color="auto" w:sz="4" w:space="0"/>
              <w:right w:val="single" w:color="auto" w:sz="4" w:space="0"/>
            </w:tcBorders>
            <w:shd w:val="clear" w:color="auto" w:fill="auto"/>
            <w:noWrap/>
            <w:vAlign w:val="center"/>
          </w:tcPr>
          <w:p>
            <w:pPr>
              <w:widowControl/>
              <w:ind w:firstLine="440" w:firstLineChars="200"/>
              <w:jc w:val="left"/>
              <w:textAlignment w:val="center"/>
              <w:rPr>
                <w:rFonts w:ascii="宋体" w:hAnsi="宋体" w:eastAsia="宋体" w:cs="宋体"/>
                <w:kern w:val="0"/>
                <w:sz w:val="22"/>
              </w:rPr>
            </w:pPr>
            <w:r>
              <w:rPr>
                <w:rFonts w:ascii="宋体" w:hAnsi="宋体" w:eastAsia="宋体" w:cs="宋体"/>
                <w:color w:val="000000"/>
                <w:kern w:val="0"/>
                <w:sz w:val="22"/>
                <w:lang w:bidi="ar"/>
              </w:rPr>
              <w:t>机关事业单位基本养老保险缴费支出</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136.72</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136.72</w:t>
            </w:r>
          </w:p>
        </w:tc>
        <w:tc>
          <w:tcPr>
            <w:tcW w:w="122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281"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210</w:t>
            </w:r>
          </w:p>
        </w:tc>
        <w:tc>
          <w:tcPr>
            <w:tcW w:w="280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卫生健康支出</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67.88</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67.88</w:t>
            </w:r>
          </w:p>
        </w:tc>
        <w:tc>
          <w:tcPr>
            <w:tcW w:w="122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281"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21011</w:t>
            </w:r>
          </w:p>
        </w:tc>
        <w:tc>
          <w:tcPr>
            <w:tcW w:w="2805" w:type="dxa"/>
            <w:tcBorders>
              <w:top w:val="nil"/>
              <w:left w:val="nil"/>
              <w:bottom w:val="single" w:color="auto" w:sz="4" w:space="0"/>
              <w:right w:val="single" w:color="auto" w:sz="4" w:space="0"/>
            </w:tcBorders>
            <w:shd w:val="clear" w:color="auto" w:fill="auto"/>
            <w:noWrap/>
            <w:vAlign w:val="center"/>
          </w:tcPr>
          <w:p>
            <w:pPr>
              <w:widowControl/>
              <w:ind w:firstLine="221" w:firstLineChars="100"/>
              <w:jc w:val="left"/>
              <w:textAlignment w:val="center"/>
              <w:rPr>
                <w:rFonts w:ascii="宋体" w:hAnsi="宋体" w:eastAsia="宋体" w:cs="宋体"/>
                <w:kern w:val="0"/>
                <w:sz w:val="22"/>
              </w:rPr>
            </w:pPr>
            <w:r>
              <w:rPr>
                <w:rFonts w:ascii="宋体" w:hAnsi="宋体" w:eastAsia="宋体" w:cs="宋体"/>
                <w:b/>
                <w:bCs/>
                <w:color w:val="000000"/>
                <w:kern w:val="0"/>
                <w:sz w:val="22"/>
                <w:lang w:bidi="ar"/>
              </w:rPr>
              <w:t>行政事业单位医疗</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67.88</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67.88</w:t>
            </w:r>
          </w:p>
        </w:tc>
        <w:tc>
          <w:tcPr>
            <w:tcW w:w="122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281"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22"/>
                <w:lang w:bidi="ar"/>
              </w:rPr>
              <w:t>2101102</w:t>
            </w:r>
          </w:p>
        </w:tc>
        <w:tc>
          <w:tcPr>
            <w:tcW w:w="2805" w:type="dxa"/>
            <w:tcBorders>
              <w:top w:val="nil"/>
              <w:left w:val="nil"/>
              <w:bottom w:val="single" w:color="auto" w:sz="4" w:space="0"/>
              <w:right w:val="single" w:color="auto" w:sz="4" w:space="0"/>
            </w:tcBorders>
            <w:shd w:val="clear" w:color="auto" w:fill="auto"/>
            <w:noWrap/>
            <w:vAlign w:val="center"/>
          </w:tcPr>
          <w:p>
            <w:pPr>
              <w:widowControl/>
              <w:ind w:firstLine="440" w:firstLineChars="200"/>
              <w:jc w:val="left"/>
              <w:textAlignment w:val="center"/>
              <w:rPr>
                <w:rFonts w:ascii="宋体" w:hAnsi="宋体" w:eastAsia="宋体" w:cs="宋体"/>
                <w:kern w:val="0"/>
                <w:sz w:val="22"/>
              </w:rPr>
            </w:pPr>
            <w:r>
              <w:rPr>
                <w:rFonts w:ascii="宋体" w:hAnsi="宋体" w:eastAsia="宋体" w:cs="宋体"/>
                <w:color w:val="000000"/>
                <w:kern w:val="0"/>
                <w:sz w:val="22"/>
                <w:lang w:bidi="ar"/>
              </w:rPr>
              <w:t>事业单位医疗</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67.88</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67.88</w:t>
            </w:r>
          </w:p>
        </w:tc>
        <w:tc>
          <w:tcPr>
            <w:tcW w:w="122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281"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221</w:t>
            </w:r>
          </w:p>
        </w:tc>
        <w:tc>
          <w:tcPr>
            <w:tcW w:w="280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住房保障支出</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236.81</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236.81</w:t>
            </w:r>
          </w:p>
        </w:tc>
        <w:tc>
          <w:tcPr>
            <w:tcW w:w="122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281"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b/>
                <w:bCs/>
                <w:color w:val="000000"/>
                <w:kern w:val="0"/>
                <w:sz w:val="22"/>
                <w:lang w:bidi="ar"/>
              </w:rPr>
              <w:t>22102</w:t>
            </w:r>
          </w:p>
        </w:tc>
        <w:tc>
          <w:tcPr>
            <w:tcW w:w="2805" w:type="dxa"/>
            <w:tcBorders>
              <w:top w:val="nil"/>
              <w:left w:val="nil"/>
              <w:bottom w:val="single" w:color="auto" w:sz="4" w:space="0"/>
              <w:right w:val="single" w:color="auto" w:sz="4" w:space="0"/>
            </w:tcBorders>
            <w:shd w:val="clear" w:color="auto" w:fill="auto"/>
            <w:noWrap/>
            <w:vAlign w:val="center"/>
          </w:tcPr>
          <w:p>
            <w:pPr>
              <w:widowControl/>
              <w:ind w:firstLine="221" w:firstLineChars="100"/>
              <w:jc w:val="left"/>
              <w:textAlignment w:val="center"/>
              <w:rPr>
                <w:rFonts w:ascii="宋体" w:hAnsi="宋体" w:eastAsia="宋体" w:cs="宋体"/>
                <w:kern w:val="0"/>
                <w:sz w:val="22"/>
              </w:rPr>
            </w:pPr>
            <w:r>
              <w:rPr>
                <w:rFonts w:ascii="宋体" w:hAnsi="宋体" w:eastAsia="宋体" w:cs="宋体"/>
                <w:b/>
                <w:bCs/>
                <w:color w:val="000000"/>
                <w:kern w:val="0"/>
                <w:sz w:val="22"/>
                <w:lang w:bidi="ar"/>
              </w:rPr>
              <w:t>住房改革支出</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236.81</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236.81</w:t>
            </w:r>
          </w:p>
        </w:tc>
        <w:tc>
          <w:tcPr>
            <w:tcW w:w="122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281"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22"/>
                <w:lang w:bidi="ar"/>
              </w:rPr>
              <w:t>2210201</w:t>
            </w:r>
          </w:p>
        </w:tc>
        <w:tc>
          <w:tcPr>
            <w:tcW w:w="2805" w:type="dxa"/>
            <w:tcBorders>
              <w:top w:val="nil"/>
              <w:left w:val="nil"/>
              <w:bottom w:val="single" w:color="auto" w:sz="4" w:space="0"/>
              <w:right w:val="single" w:color="auto" w:sz="4" w:space="0"/>
            </w:tcBorders>
            <w:shd w:val="clear" w:color="auto" w:fill="auto"/>
            <w:noWrap/>
            <w:vAlign w:val="center"/>
          </w:tcPr>
          <w:p>
            <w:pPr>
              <w:widowControl/>
              <w:ind w:firstLine="440" w:firstLineChars="200"/>
              <w:jc w:val="left"/>
              <w:textAlignment w:val="center"/>
              <w:rPr>
                <w:rFonts w:ascii="宋体" w:hAnsi="宋体" w:eastAsia="宋体" w:cs="宋体"/>
                <w:kern w:val="0"/>
                <w:sz w:val="22"/>
              </w:rPr>
            </w:pPr>
            <w:r>
              <w:rPr>
                <w:rFonts w:ascii="宋体" w:hAnsi="宋体" w:eastAsia="宋体" w:cs="宋体"/>
                <w:color w:val="000000"/>
                <w:kern w:val="0"/>
                <w:sz w:val="22"/>
                <w:lang w:bidi="ar"/>
              </w:rPr>
              <w:t>住房公积金</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195.92</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195.92</w:t>
            </w:r>
          </w:p>
        </w:tc>
        <w:tc>
          <w:tcPr>
            <w:tcW w:w="122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281"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22"/>
                <w:lang w:bidi="ar"/>
              </w:rPr>
              <w:t>2210202</w:t>
            </w:r>
          </w:p>
        </w:tc>
        <w:tc>
          <w:tcPr>
            <w:tcW w:w="2805" w:type="dxa"/>
            <w:tcBorders>
              <w:top w:val="nil"/>
              <w:left w:val="nil"/>
              <w:bottom w:val="single" w:color="auto" w:sz="4" w:space="0"/>
              <w:right w:val="single" w:color="auto" w:sz="4" w:space="0"/>
            </w:tcBorders>
            <w:shd w:val="clear" w:color="auto" w:fill="auto"/>
            <w:noWrap/>
            <w:vAlign w:val="center"/>
          </w:tcPr>
          <w:p>
            <w:pPr>
              <w:widowControl/>
              <w:ind w:firstLine="440" w:firstLineChars="200"/>
              <w:jc w:val="left"/>
              <w:textAlignment w:val="center"/>
              <w:rPr>
                <w:rFonts w:ascii="宋体" w:hAnsi="宋体" w:eastAsia="宋体" w:cs="宋体"/>
                <w:kern w:val="0"/>
                <w:sz w:val="22"/>
              </w:rPr>
            </w:pPr>
            <w:r>
              <w:rPr>
                <w:rFonts w:ascii="宋体" w:hAnsi="宋体" w:eastAsia="宋体" w:cs="宋体"/>
                <w:color w:val="000000"/>
                <w:kern w:val="0"/>
                <w:sz w:val="22"/>
                <w:lang w:bidi="ar"/>
              </w:rPr>
              <w:t>提租补贴</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22"/>
                <w:lang w:bidi="ar"/>
              </w:rPr>
              <w:t>40.89</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kern w:val="0"/>
                <w:sz w:val="22"/>
              </w:rPr>
              <w:t>40.89</w:t>
            </w:r>
          </w:p>
        </w:tc>
        <w:tc>
          <w:tcPr>
            <w:tcW w:w="122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pStyle w:val="4"/>
      </w:pPr>
      <w:bookmarkStart w:id="10" w:name="_Toc128561192"/>
      <w:r>
        <w:rPr>
          <w:rFonts w:hint="eastAsia"/>
        </w:rPr>
        <w:t>六、政府性基金预算拨款支出预算表</w:t>
      </w:r>
      <w:bookmarkEnd w:id="10"/>
    </w:p>
    <w:tbl>
      <w:tblPr>
        <w:tblStyle w:val="10"/>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684"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p>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2023年度政府性基金预算拨款支出预算表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3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300" w:lineRule="auto"/>
        <w:ind w:firstLine="302" w:firstLineChars="126"/>
        <w:rPr>
          <w:rFonts w:ascii="楷体" w:hAnsi="楷体" w:eastAsia="楷体" w:cs="Times New Roman"/>
          <w:kern w:val="0"/>
          <w:sz w:val="24"/>
          <w:szCs w:val="24"/>
        </w:rPr>
      </w:pPr>
    </w:p>
    <w:p>
      <w:pPr>
        <w:tabs>
          <w:tab w:val="left" w:pos="7513"/>
        </w:tabs>
        <w:adjustRightInd w:val="0"/>
        <w:snapToGrid w:val="0"/>
        <w:spacing w:line="300" w:lineRule="auto"/>
        <w:ind w:firstLine="240" w:firstLineChars="100"/>
        <w:rPr>
          <w:rFonts w:ascii="仿宋" w:hAnsi="仿宋" w:eastAsia="仿宋" w:cs="仿宋"/>
          <w:sz w:val="24"/>
          <w:szCs w:val="24"/>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kern w:val="0"/>
          <w:sz w:val="24"/>
          <w:szCs w:val="24"/>
        </w:rPr>
        <w:t>备注：本单位2023年没有使用政府性基金预算拨款安排的支出。</w:t>
      </w:r>
    </w:p>
    <w:p>
      <w:pPr>
        <w:pStyle w:val="4"/>
      </w:pPr>
      <w:bookmarkStart w:id="11" w:name="_Toc128561193"/>
      <w:r>
        <w:rPr>
          <w:rFonts w:hint="eastAsia"/>
        </w:rPr>
        <w:t>七、国有资本经营预算拨款支出预算表</w:t>
      </w:r>
      <w:bookmarkEnd w:id="11"/>
    </w:p>
    <w:tbl>
      <w:tblPr>
        <w:tblStyle w:val="10"/>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p>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2023年度国有资本经营预算拨款支出预算表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300" w:lineRule="auto"/>
        <w:ind w:firstLine="280" w:firstLineChars="100"/>
        <w:rPr>
          <w:rFonts w:ascii="楷体" w:hAnsi="楷体" w:eastAsia="楷体" w:cs="Times New Roman"/>
          <w:kern w:val="0"/>
          <w:sz w:val="28"/>
          <w:szCs w:val="28"/>
        </w:rPr>
      </w:pPr>
    </w:p>
    <w:p>
      <w:pPr>
        <w:tabs>
          <w:tab w:val="left" w:pos="7513"/>
        </w:tabs>
        <w:adjustRightInd w:val="0"/>
        <w:snapToGrid w:val="0"/>
        <w:spacing w:line="300" w:lineRule="auto"/>
        <w:ind w:firstLine="240" w:firstLineChars="100"/>
        <w:rPr>
          <w:rFonts w:ascii="仿宋" w:hAnsi="仿宋" w:eastAsia="仿宋" w:cs="仿宋"/>
          <w:sz w:val="24"/>
          <w:szCs w:val="24"/>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kern w:val="0"/>
          <w:sz w:val="24"/>
          <w:szCs w:val="24"/>
        </w:rPr>
        <w:t>备注：本部门2023年没有使用国有资本经营预算拨款安排的支出。</w:t>
      </w:r>
    </w:p>
    <w:p>
      <w:pPr>
        <w:pStyle w:val="4"/>
      </w:pPr>
      <w:bookmarkStart w:id="12" w:name="_Toc128561194"/>
      <w:r>
        <w:rPr>
          <w:rFonts w:hint="eastAsia"/>
        </w:rPr>
        <w:t>八、一般公共预算支出经济分类情况表</w:t>
      </w:r>
      <w:bookmarkEnd w:id="12"/>
    </w:p>
    <w:tbl>
      <w:tblPr>
        <w:tblStyle w:val="10"/>
        <w:tblW w:w="8237" w:type="dxa"/>
        <w:tblInd w:w="93" w:type="dxa"/>
        <w:tblLayout w:type="autofit"/>
        <w:tblCellMar>
          <w:top w:w="0" w:type="dxa"/>
          <w:left w:w="108" w:type="dxa"/>
          <w:bottom w:w="0" w:type="dxa"/>
          <w:right w:w="108" w:type="dxa"/>
        </w:tblCellMar>
      </w:tblPr>
      <w:tblGrid>
        <w:gridCol w:w="1575"/>
        <w:gridCol w:w="3969"/>
        <w:gridCol w:w="2693"/>
      </w:tblGrid>
      <w:tr>
        <w:tblPrEx>
          <w:tblCellMar>
            <w:top w:w="0" w:type="dxa"/>
            <w:left w:w="108" w:type="dxa"/>
            <w:bottom w:w="0" w:type="dxa"/>
            <w:right w:w="108" w:type="dxa"/>
          </w:tblCellMar>
        </w:tblPrEx>
        <w:trPr>
          <w:trHeight w:val="743" w:hRule="atLeast"/>
        </w:trPr>
        <w:tc>
          <w:tcPr>
            <w:tcW w:w="8237" w:type="dxa"/>
            <w:gridSpan w:val="3"/>
            <w:tcBorders>
              <w:top w:val="nil"/>
              <w:left w:val="nil"/>
              <w:bottom w:val="nil"/>
              <w:right w:val="nil"/>
            </w:tcBorders>
            <w:shd w:val="clear" w:color="000000" w:fill="FFFFFF"/>
            <w:noWrap/>
            <w:vAlign w:val="center"/>
          </w:tcPr>
          <w:p>
            <w:pPr>
              <w:widowControl/>
              <w:spacing w:line="240" w:lineRule="auto"/>
              <w:jc w:val="center"/>
              <w:rPr>
                <w:rFonts w:ascii="方正小标宋简体" w:hAnsi="宋体" w:eastAsia="方正小标宋简体" w:cs="宋体"/>
                <w:kern w:val="0"/>
                <w:sz w:val="32"/>
                <w:szCs w:val="32"/>
              </w:rPr>
            </w:pPr>
          </w:p>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2023年度一般公共预算支出经济分类情况表</w:t>
            </w:r>
          </w:p>
        </w:tc>
      </w:tr>
      <w:tr>
        <w:tblPrEx>
          <w:tblCellMar>
            <w:top w:w="0" w:type="dxa"/>
            <w:left w:w="108" w:type="dxa"/>
            <w:bottom w:w="0" w:type="dxa"/>
            <w:right w:w="108" w:type="dxa"/>
          </w:tblCellMar>
        </w:tblPrEx>
        <w:trPr>
          <w:trHeight w:val="360" w:hRule="atLeast"/>
        </w:trPr>
        <w:tc>
          <w:tcPr>
            <w:tcW w:w="1575" w:type="dxa"/>
            <w:tcBorders>
              <w:top w:val="nil"/>
              <w:left w:val="nil"/>
              <w:bottom w:val="nil"/>
              <w:right w:val="nil"/>
            </w:tcBorders>
            <w:shd w:val="clear" w:color="000000" w:fill="FFFFFF"/>
            <w:noWrap/>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69"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0"/>
                <w:szCs w:val="20"/>
              </w:rPr>
            </w:pPr>
          </w:p>
        </w:tc>
        <w:tc>
          <w:tcPr>
            <w:tcW w:w="2693" w:type="dxa"/>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63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969"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693" w:type="dxa"/>
            <w:tcBorders>
              <w:top w:val="single" w:color="000000" w:sz="4" w:space="0"/>
              <w:left w:val="nil"/>
              <w:bottom w:val="nil"/>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607" w:hRule="atLeast"/>
        </w:trPr>
        <w:tc>
          <w:tcPr>
            <w:tcW w:w="55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2693" w:type="dxa"/>
            <w:tcBorders>
              <w:top w:val="single" w:color="000000" w:sz="4" w:space="0"/>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000000"/>
                <w:kern w:val="0"/>
                <w:sz w:val="22"/>
              </w:rPr>
            </w:pPr>
            <w:r>
              <w:rPr>
                <w:rFonts w:ascii="宋体" w:hAnsi="宋体" w:eastAsia="宋体" w:cs="宋体"/>
                <w:color w:val="000000"/>
                <w:kern w:val="0"/>
                <w:sz w:val="22"/>
                <w:lang w:bidi="ar"/>
              </w:rPr>
              <w:t>2408.48</w:t>
            </w:r>
          </w:p>
        </w:tc>
      </w:tr>
      <w:tr>
        <w:tblPrEx>
          <w:tblCellMar>
            <w:top w:w="0" w:type="dxa"/>
            <w:left w:w="108" w:type="dxa"/>
            <w:bottom w:w="0" w:type="dxa"/>
            <w:right w:w="108" w:type="dxa"/>
          </w:tblCellMar>
        </w:tblPrEx>
        <w:trPr>
          <w:trHeight w:val="583"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301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工资福利支出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1946.21</w:t>
            </w:r>
          </w:p>
        </w:tc>
      </w:tr>
      <w:tr>
        <w:tblPrEx>
          <w:tblCellMar>
            <w:top w:w="0" w:type="dxa"/>
            <w:left w:w="108" w:type="dxa"/>
            <w:bottom w:w="0" w:type="dxa"/>
            <w:right w:w="108" w:type="dxa"/>
          </w:tblCellMar>
        </w:tblPrEx>
        <w:trPr>
          <w:trHeight w:val="58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302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商品和服务支出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97.29</w:t>
            </w:r>
          </w:p>
        </w:tc>
      </w:tr>
      <w:tr>
        <w:tblPrEx>
          <w:tblCellMar>
            <w:top w:w="0" w:type="dxa"/>
            <w:left w:w="108" w:type="dxa"/>
            <w:bottom w:w="0" w:type="dxa"/>
            <w:right w:w="108" w:type="dxa"/>
          </w:tblCellMar>
        </w:tblPrEx>
        <w:trPr>
          <w:trHeight w:val="52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303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对个人和家庭的补助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305.53</w:t>
            </w:r>
          </w:p>
        </w:tc>
      </w:tr>
      <w:tr>
        <w:tblPrEx>
          <w:tblCellMar>
            <w:top w:w="0" w:type="dxa"/>
            <w:left w:w="108" w:type="dxa"/>
            <w:bottom w:w="0" w:type="dxa"/>
            <w:right w:w="108" w:type="dxa"/>
          </w:tblCellMar>
        </w:tblPrEx>
        <w:trPr>
          <w:trHeight w:val="62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310</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资本性支出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59.45　</w:t>
            </w:r>
          </w:p>
        </w:tc>
      </w:tr>
    </w:tbl>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pStyle w:val="4"/>
      </w:pPr>
      <w:bookmarkStart w:id="13" w:name="_Toc128561195"/>
      <w:r>
        <w:rPr>
          <w:rFonts w:hint="eastAsia"/>
        </w:rPr>
        <w:t>九、一般公共预算基本支出经济分类情况表</w:t>
      </w:r>
      <w:bookmarkEnd w:id="13"/>
    </w:p>
    <w:p>
      <w:pPr>
        <w:tabs>
          <w:tab w:val="left" w:pos="7513"/>
        </w:tabs>
        <w:adjustRightInd w:val="0"/>
        <w:snapToGrid w:val="0"/>
        <w:spacing w:line="600" w:lineRule="exact"/>
        <w:jc w:val="center"/>
        <w:rPr>
          <w:rFonts w:ascii="黑体" w:hAnsi="黑体" w:eastAsia="黑体"/>
          <w:sz w:val="32"/>
          <w:szCs w:val="32"/>
        </w:rPr>
      </w:pPr>
      <w:r>
        <w:rPr>
          <w:rFonts w:hint="eastAsia" w:ascii="方正小标宋简体" w:hAnsi="宋体" w:eastAsia="方正小标宋简体" w:cs="宋体"/>
          <w:kern w:val="0"/>
          <w:sz w:val="32"/>
          <w:szCs w:val="32"/>
        </w:rPr>
        <w:t>2023年度一般公共预算基本支出经济分类情况表</w:t>
      </w:r>
    </w:p>
    <w:tbl>
      <w:tblPr>
        <w:tblStyle w:val="10"/>
        <w:tblW w:w="8379" w:type="dxa"/>
        <w:tblInd w:w="93" w:type="dxa"/>
        <w:tblLayout w:type="autofit"/>
        <w:tblCellMar>
          <w:top w:w="0" w:type="dxa"/>
          <w:left w:w="108" w:type="dxa"/>
          <w:bottom w:w="0" w:type="dxa"/>
          <w:right w:w="108" w:type="dxa"/>
        </w:tblCellMar>
      </w:tblPr>
      <w:tblGrid>
        <w:gridCol w:w="1575"/>
        <w:gridCol w:w="4252"/>
        <w:gridCol w:w="2410"/>
        <w:gridCol w:w="142"/>
      </w:tblGrid>
      <w:tr>
        <w:tblPrEx>
          <w:tblCellMar>
            <w:top w:w="0" w:type="dxa"/>
            <w:left w:w="108" w:type="dxa"/>
            <w:bottom w:w="0" w:type="dxa"/>
            <w:right w:w="108" w:type="dxa"/>
          </w:tblCellMar>
        </w:tblPrEx>
        <w:trPr>
          <w:gridAfter w:val="1"/>
          <w:wAfter w:w="142" w:type="dxa"/>
          <w:trHeight w:val="360" w:hRule="atLeast"/>
        </w:trPr>
        <w:tc>
          <w:tcPr>
            <w:tcW w:w="8237" w:type="dxa"/>
            <w:gridSpan w:val="3"/>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67" w:hRule="atLeast"/>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5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94" w:hRule="atLeast"/>
        </w:trPr>
        <w:tc>
          <w:tcPr>
            <w:tcW w:w="582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2408.48</w:t>
            </w:r>
          </w:p>
        </w:tc>
      </w:tr>
      <w:tr>
        <w:tblPrEx>
          <w:tblCellMar>
            <w:top w:w="0" w:type="dxa"/>
            <w:left w:w="108" w:type="dxa"/>
            <w:bottom w:w="0" w:type="dxa"/>
            <w:right w:w="108" w:type="dxa"/>
          </w:tblCellMar>
        </w:tblPrEx>
        <w:trPr>
          <w:trHeight w:val="523"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22"/>
              </w:rPr>
            </w:pPr>
            <w:r>
              <w:rPr>
                <w:rFonts w:ascii="宋体" w:hAnsi="宋体" w:eastAsia="宋体" w:cs="宋体"/>
                <w:b/>
                <w:bCs/>
                <w:color w:val="000000"/>
                <w:kern w:val="0"/>
                <w:sz w:val="22"/>
              </w:rPr>
              <w:t>301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22"/>
              </w:rPr>
            </w:pPr>
            <w:r>
              <w:rPr>
                <w:rFonts w:hint="eastAsia" w:ascii="宋体" w:hAnsi="宋体" w:eastAsia="宋体" w:cs="宋体"/>
                <w:b/>
                <w:bCs/>
                <w:color w:val="000000"/>
                <w:kern w:val="0"/>
                <w:sz w:val="22"/>
              </w:rPr>
              <w:t>工资福利支出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1946.21</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2"/>
              </w:rPr>
            </w:pPr>
            <w:r>
              <w:rPr>
                <w:rFonts w:ascii="宋体" w:hAnsi="宋体" w:eastAsia="宋体" w:cs="宋体"/>
                <w:color w:val="000000"/>
                <w:kern w:val="0"/>
                <w:sz w:val="22"/>
              </w:rPr>
              <w:t>30101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440" w:firstLineChars="200"/>
              <w:jc w:val="left"/>
              <w:rPr>
                <w:rFonts w:ascii="宋体" w:hAnsi="宋体" w:eastAsia="宋体" w:cs="宋体"/>
                <w:color w:val="000000"/>
                <w:kern w:val="0"/>
                <w:sz w:val="22"/>
              </w:rPr>
            </w:pPr>
            <w:r>
              <w:rPr>
                <w:rFonts w:hint="eastAsia" w:ascii="宋体" w:hAnsi="宋体" w:eastAsia="宋体" w:cs="宋体"/>
                <w:color w:val="000000"/>
                <w:kern w:val="0"/>
                <w:sz w:val="22"/>
              </w:rPr>
              <w:t>基本工资</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452.88</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2"/>
              </w:rPr>
            </w:pPr>
            <w:r>
              <w:rPr>
                <w:rFonts w:ascii="宋体" w:hAnsi="宋体" w:eastAsia="宋体" w:cs="宋体"/>
                <w:color w:val="000000"/>
                <w:kern w:val="0"/>
                <w:sz w:val="22"/>
              </w:rPr>
              <w:t>30102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440" w:firstLineChars="200"/>
              <w:jc w:val="left"/>
              <w:rPr>
                <w:rFonts w:ascii="宋体" w:hAnsi="宋体" w:eastAsia="宋体" w:cs="宋体"/>
                <w:color w:val="000000"/>
                <w:kern w:val="0"/>
                <w:sz w:val="22"/>
              </w:rPr>
            </w:pPr>
            <w:r>
              <w:rPr>
                <w:rFonts w:hint="eastAsia" w:ascii="宋体" w:hAnsi="宋体" w:eastAsia="宋体" w:cs="宋体"/>
                <w:color w:val="000000"/>
                <w:kern w:val="0"/>
                <w:sz w:val="22"/>
              </w:rPr>
              <w:t>津贴补贴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44.73</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2"/>
              </w:rPr>
            </w:pPr>
            <w:r>
              <w:rPr>
                <w:rFonts w:ascii="宋体" w:hAnsi="宋体" w:eastAsia="宋体" w:cs="宋体"/>
                <w:color w:val="000000"/>
                <w:kern w:val="0"/>
                <w:sz w:val="22"/>
              </w:rPr>
              <w:t>30103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440" w:firstLineChars="200"/>
              <w:jc w:val="left"/>
              <w:rPr>
                <w:rFonts w:ascii="宋体" w:hAnsi="宋体" w:eastAsia="宋体" w:cs="宋体"/>
                <w:color w:val="000000"/>
                <w:kern w:val="0"/>
                <w:sz w:val="22"/>
              </w:rPr>
            </w:pPr>
            <w:r>
              <w:rPr>
                <w:rFonts w:hint="eastAsia" w:ascii="宋体" w:hAnsi="宋体" w:eastAsia="宋体" w:cs="宋体"/>
                <w:color w:val="000000"/>
                <w:kern w:val="0"/>
                <w:sz w:val="22"/>
              </w:rPr>
              <w:t>奖金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22"/>
                <w:lang w:bidi="ar"/>
              </w:rPr>
              <w:t>614.4</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2"/>
              </w:rPr>
            </w:pPr>
            <w:r>
              <w:rPr>
                <w:rFonts w:ascii="宋体" w:hAnsi="宋体" w:eastAsia="宋体" w:cs="宋体"/>
                <w:color w:val="000000"/>
                <w:kern w:val="0"/>
                <w:sz w:val="22"/>
              </w:rPr>
              <w:t>30107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440" w:firstLineChars="200"/>
              <w:jc w:val="left"/>
              <w:rPr>
                <w:rFonts w:ascii="宋体" w:hAnsi="宋体" w:eastAsia="宋体" w:cs="宋体"/>
                <w:color w:val="000000"/>
                <w:kern w:val="0"/>
                <w:sz w:val="22"/>
              </w:rPr>
            </w:pPr>
            <w:r>
              <w:rPr>
                <w:rFonts w:hint="eastAsia" w:ascii="宋体" w:hAnsi="宋体" w:eastAsia="宋体" w:cs="宋体"/>
                <w:color w:val="000000"/>
                <w:kern w:val="0"/>
                <w:sz w:val="22"/>
              </w:rPr>
              <w:t>绩效工资</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361.05</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2"/>
              </w:rPr>
            </w:pPr>
            <w:r>
              <w:rPr>
                <w:rFonts w:ascii="宋体" w:hAnsi="宋体" w:eastAsia="宋体" w:cs="宋体"/>
                <w:color w:val="000000"/>
                <w:kern w:val="0"/>
                <w:sz w:val="22"/>
              </w:rPr>
              <w:t>30109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440" w:firstLineChars="200"/>
              <w:jc w:val="left"/>
              <w:rPr>
                <w:rFonts w:ascii="宋体" w:hAnsi="宋体" w:eastAsia="宋体" w:cs="宋体"/>
                <w:color w:val="000000"/>
                <w:kern w:val="0"/>
                <w:sz w:val="22"/>
              </w:rPr>
            </w:pPr>
            <w:r>
              <w:rPr>
                <w:rFonts w:hint="eastAsia" w:ascii="宋体" w:hAnsi="宋体" w:eastAsia="宋体" w:cs="宋体"/>
                <w:color w:val="000000"/>
                <w:kern w:val="0"/>
                <w:sz w:val="22"/>
              </w:rPr>
              <w:t>职业年金缴费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68.36</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2"/>
              </w:rPr>
            </w:pPr>
            <w:r>
              <w:rPr>
                <w:rFonts w:ascii="宋体" w:hAnsi="宋体" w:eastAsia="宋体" w:cs="宋体"/>
                <w:color w:val="000000"/>
                <w:kern w:val="0"/>
                <w:sz w:val="22"/>
              </w:rPr>
              <w:t>30112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440" w:firstLineChars="200"/>
              <w:jc w:val="left"/>
              <w:rPr>
                <w:rFonts w:ascii="宋体" w:hAnsi="宋体" w:eastAsia="宋体" w:cs="宋体"/>
                <w:color w:val="000000"/>
                <w:kern w:val="0"/>
                <w:sz w:val="22"/>
              </w:rPr>
            </w:pPr>
            <w:r>
              <w:rPr>
                <w:rFonts w:hint="eastAsia" w:ascii="宋体" w:hAnsi="宋体" w:eastAsia="宋体" w:cs="宋体"/>
                <w:color w:val="000000"/>
                <w:kern w:val="0"/>
                <w:sz w:val="22"/>
              </w:rPr>
              <w:t>其他社会保障缴费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208.87</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2"/>
              </w:rPr>
            </w:pPr>
            <w:r>
              <w:rPr>
                <w:rFonts w:ascii="宋体" w:hAnsi="宋体" w:eastAsia="宋体" w:cs="宋体"/>
                <w:color w:val="000000"/>
                <w:kern w:val="0"/>
                <w:sz w:val="22"/>
              </w:rPr>
              <w:t>30113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440" w:firstLineChars="200"/>
              <w:jc w:val="left"/>
              <w:rPr>
                <w:rFonts w:ascii="宋体" w:hAnsi="宋体" w:eastAsia="宋体" w:cs="宋体"/>
                <w:color w:val="000000"/>
                <w:kern w:val="0"/>
                <w:sz w:val="22"/>
              </w:rPr>
            </w:pPr>
            <w:r>
              <w:rPr>
                <w:rFonts w:hint="eastAsia" w:ascii="宋体" w:hAnsi="宋体" w:eastAsia="宋体" w:cs="宋体"/>
                <w:color w:val="000000"/>
                <w:kern w:val="0"/>
                <w:sz w:val="22"/>
              </w:rPr>
              <w:t>住房公积金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195.92</w:t>
            </w:r>
          </w:p>
        </w:tc>
      </w:tr>
      <w:tr>
        <w:tblPrEx>
          <w:tblCellMar>
            <w:top w:w="0" w:type="dxa"/>
            <w:left w:w="108" w:type="dxa"/>
            <w:bottom w:w="0" w:type="dxa"/>
            <w:right w:w="108" w:type="dxa"/>
          </w:tblCellMar>
        </w:tblPrEx>
        <w:trPr>
          <w:trHeight w:val="537"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22"/>
              </w:rPr>
            </w:pPr>
            <w:r>
              <w:rPr>
                <w:rFonts w:ascii="宋体" w:hAnsi="宋体" w:eastAsia="宋体" w:cs="宋体"/>
                <w:b/>
                <w:bCs/>
                <w:color w:val="000000"/>
                <w:kern w:val="0"/>
                <w:sz w:val="22"/>
              </w:rPr>
              <w:t>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22"/>
              </w:rPr>
            </w:pPr>
            <w:r>
              <w:rPr>
                <w:rFonts w:hint="eastAsia" w:ascii="宋体" w:hAnsi="宋体" w:eastAsia="宋体" w:cs="宋体"/>
                <w:b/>
                <w:bCs/>
                <w:color w:val="000000"/>
                <w:kern w:val="0"/>
                <w:sz w:val="22"/>
              </w:rPr>
              <w:t>商品和服务支出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97.29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2"/>
              </w:rPr>
            </w:pPr>
            <w:r>
              <w:rPr>
                <w:rFonts w:ascii="宋体" w:hAnsi="宋体" w:eastAsia="宋体" w:cs="宋体"/>
                <w:color w:val="000000"/>
                <w:kern w:val="0"/>
                <w:sz w:val="22"/>
              </w:rPr>
              <w:t>30201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440" w:firstLineChars="200"/>
              <w:jc w:val="left"/>
              <w:rPr>
                <w:rFonts w:ascii="宋体" w:hAnsi="宋体" w:eastAsia="宋体" w:cs="宋体"/>
                <w:color w:val="000000"/>
                <w:kern w:val="0"/>
                <w:sz w:val="22"/>
              </w:rPr>
            </w:pPr>
            <w:r>
              <w:rPr>
                <w:rFonts w:hint="eastAsia" w:ascii="宋体" w:hAnsi="宋体" w:eastAsia="宋体" w:cs="宋体"/>
                <w:color w:val="000000"/>
                <w:kern w:val="0"/>
                <w:sz w:val="22"/>
              </w:rPr>
              <w:t>办公费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2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2"/>
              </w:rPr>
            </w:pPr>
            <w:r>
              <w:rPr>
                <w:rFonts w:ascii="宋体" w:hAnsi="宋体" w:eastAsia="宋体" w:cs="宋体"/>
                <w:color w:val="000000"/>
                <w:kern w:val="0"/>
                <w:sz w:val="22"/>
              </w:rPr>
              <w:t>30206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440" w:firstLineChars="200"/>
              <w:jc w:val="left"/>
              <w:rPr>
                <w:rFonts w:ascii="宋体" w:hAnsi="宋体" w:eastAsia="宋体" w:cs="宋体"/>
                <w:color w:val="000000"/>
                <w:kern w:val="0"/>
                <w:sz w:val="22"/>
              </w:rPr>
            </w:pPr>
            <w:r>
              <w:rPr>
                <w:rFonts w:hint="eastAsia" w:ascii="宋体" w:hAnsi="宋体" w:eastAsia="宋体" w:cs="宋体"/>
                <w:color w:val="000000"/>
                <w:kern w:val="0"/>
                <w:sz w:val="22"/>
              </w:rPr>
              <w:t>电费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20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2"/>
              </w:rPr>
            </w:pPr>
            <w:r>
              <w:rPr>
                <w:rFonts w:ascii="宋体" w:hAnsi="宋体" w:eastAsia="宋体" w:cs="宋体"/>
                <w:color w:val="000000"/>
                <w:kern w:val="0"/>
                <w:sz w:val="22"/>
              </w:rPr>
              <w:t>30209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440" w:firstLineChars="200"/>
              <w:jc w:val="left"/>
              <w:rPr>
                <w:rFonts w:ascii="宋体" w:hAnsi="宋体" w:eastAsia="宋体" w:cs="宋体"/>
                <w:color w:val="000000"/>
                <w:kern w:val="0"/>
                <w:sz w:val="22"/>
              </w:rPr>
            </w:pPr>
            <w:r>
              <w:rPr>
                <w:rFonts w:hint="eastAsia" w:ascii="宋体" w:hAnsi="宋体" w:eastAsia="宋体" w:cs="宋体"/>
                <w:color w:val="000000"/>
                <w:kern w:val="0"/>
                <w:sz w:val="22"/>
              </w:rPr>
              <w:t>物业管理费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6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2"/>
              </w:rPr>
            </w:pPr>
            <w:r>
              <w:rPr>
                <w:rFonts w:ascii="宋体" w:hAnsi="宋体" w:eastAsia="宋体" w:cs="宋体"/>
                <w:color w:val="000000"/>
                <w:kern w:val="0"/>
                <w:sz w:val="22"/>
              </w:rPr>
              <w:t>30213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440" w:firstLineChars="200"/>
              <w:jc w:val="left"/>
              <w:rPr>
                <w:rFonts w:ascii="宋体" w:hAnsi="宋体" w:eastAsia="宋体" w:cs="宋体"/>
                <w:color w:val="000000"/>
                <w:kern w:val="0"/>
                <w:sz w:val="22"/>
              </w:rPr>
            </w:pPr>
            <w:r>
              <w:rPr>
                <w:rFonts w:hint="eastAsia" w:ascii="宋体" w:hAnsi="宋体" w:eastAsia="宋体" w:cs="宋体"/>
                <w:color w:val="000000"/>
                <w:kern w:val="0"/>
                <w:sz w:val="22"/>
              </w:rPr>
              <w:t>维修</w:t>
            </w:r>
            <w:r>
              <w:rPr>
                <w:rFonts w:ascii="宋体" w:hAnsi="宋体" w:eastAsia="宋体" w:cs="宋体"/>
                <w:color w:val="000000"/>
                <w:kern w:val="0"/>
                <w:sz w:val="22"/>
              </w:rPr>
              <w:t>(护)费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20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2"/>
              </w:rPr>
            </w:pPr>
            <w:r>
              <w:rPr>
                <w:rFonts w:ascii="宋体" w:hAnsi="宋体" w:eastAsia="宋体" w:cs="宋体"/>
                <w:color w:val="000000"/>
                <w:kern w:val="0"/>
                <w:sz w:val="22"/>
              </w:rPr>
              <w:t>30217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440" w:firstLineChars="200"/>
              <w:jc w:val="left"/>
              <w:rPr>
                <w:rFonts w:ascii="宋体" w:hAnsi="宋体" w:eastAsia="宋体" w:cs="宋体"/>
                <w:color w:val="000000"/>
                <w:kern w:val="0"/>
                <w:sz w:val="22"/>
              </w:rPr>
            </w:pPr>
            <w:r>
              <w:rPr>
                <w:rFonts w:hint="eastAsia" w:ascii="宋体" w:hAnsi="宋体" w:eastAsia="宋体" w:cs="宋体"/>
                <w:color w:val="000000"/>
                <w:kern w:val="0"/>
                <w:sz w:val="22"/>
              </w:rPr>
              <w:t>公务接待费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0.3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2"/>
              </w:rPr>
            </w:pPr>
            <w:r>
              <w:rPr>
                <w:rFonts w:ascii="宋体" w:hAnsi="宋体" w:eastAsia="宋体" w:cs="宋体"/>
                <w:color w:val="000000"/>
                <w:kern w:val="0"/>
                <w:sz w:val="22"/>
              </w:rPr>
              <w:t>30218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440" w:firstLineChars="200"/>
              <w:jc w:val="left"/>
              <w:rPr>
                <w:rFonts w:ascii="宋体" w:hAnsi="宋体" w:eastAsia="宋体" w:cs="宋体"/>
                <w:color w:val="000000"/>
                <w:kern w:val="0"/>
                <w:sz w:val="22"/>
              </w:rPr>
            </w:pPr>
            <w:r>
              <w:rPr>
                <w:rFonts w:hint="eastAsia" w:ascii="宋体" w:hAnsi="宋体" w:eastAsia="宋体" w:cs="宋体"/>
                <w:color w:val="000000"/>
                <w:kern w:val="0"/>
                <w:sz w:val="22"/>
              </w:rPr>
              <w:t>专用材料费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0.3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2"/>
              </w:rPr>
            </w:pPr>
            <w:r>
              <w:rPr>
                <w:rFonts w:ascii="宋体" w:hAnsi="宋体" w:eastAsia="宋体" w:cs="宋体"/>
                <w:color w:val="000000"/>
                <w:kern w:val="0"/>
                <w:sz w:val="22"/>
              </w:rPr>
              <w:t>30228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440" w:firstLineChars="200"/>
              <w:jc w:val="left"/>
              <w:rPr>
                <w:rFonts w:ascii="宋体" w:hAnsi="宋体" w:eastAsia="宋体" w:cs="宋体"/>
                <w:color w:val="000000"/>
                <w:kern w:val="0"/>
                <w:sz w:val="22"/>
              </w:rPr>
            </w:pPr>
            <w:r>
              <w:rPr>
                <w:rFonts w:hint="eastAsia" w:ascii="宋体" w:hAnsi="宋体" w:eastAsia="宋体" w:cs="宋体"/>
                <w:color w:val="000000"/>
                <w:kern w:val="0"/>
                <w:sz w:val="22"/>
              </w:rPr>
              <w:t>工会经费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15.5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2"/>
              </w:rPr>
            </w:pPr>
            <w:r>
              <w:rPr>
                <w:rFonts w:ascii="宋体" w:hAnsi="宋体" w:eastAsia="宋体" w:cs="宋体"/>
                <w:color w:val="000000"/>
                <w:kern w:val="0"/>
                <w:sz w:val="22"/>
              </w:rPr>
              <w:t>30231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440" w:firstLineChars="200"/>
              <w:jc w:val="left"/>
              <w:rPr>
                <w:rFonts w:ascii="宋体" w:hAnsi="宋体" w:eastAsia="宋体" w:cs="宋体"/>
                <w:color w:val="000000"/>
                <w:kern w:val="0"/>
                <w:sz w:val="22"/>
              </w:rPr>
            </w:pPr>
            <w:r>
              <w:rPr>
                <w:rFonts w:hint="eastAsia" w:ascii="宋体" w:hAnsi="宋体" w:eastAsia="宋体" w:cs="宋体"/>
                <w:color w:val="000000"/>
                <w:kern w:val="0"/>
                <w:sz w:val="22"/>
              </w:rPr>
              <w:t>公务用车运行维护费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6.25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2"/>
              </w:rPr>
            </w:pPr>
            <w:r>
              <w:rPr>
                <w:rFonts w:ascii="宋体" w:hAnsi="宋体" w:eastAsia="宋体" w:cs="宋体"/>
                <w:color w:val="000000"/>
                <w:kern w:val="0"/>
                <w:sz w:val="22"/>
              </w:rPr>
              <w:t>30299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440" w:firstLineChars="200"/>
              <w:jc w:val="left"/>
              <w:rPr>
                <w:rFonts w:ascii="宋体" w:hAnsi="宋体" w:eastAsia="宋体" w:cs="宋体"/>
                <w:color w:val="000000"/>
                <w:kern w:val="0"/>
                <w:sz w:val="22"/>
              </w:rPr>
            </w:pPr>
            <w:r>
              <w:rPr>
                <w:rFonts w:hint="eastAsia" w:ascii="宋体" w:hAnsi="宋体" w:eastAsia="宋体" w:cs="宋体"/>
                <w:color w:val="000000"/>
                <w:kern w:val="0"/>
                <w:sz w:val="22"/>
              </w:rPr>
              <w:t>其他商品和服务支出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26.94　</w:t>
            </w:r>
          </w:p>
        </w:tc>
      </w:tr>
      <w:tr>
        <w:tblPrEx>
          <w:tblCellMar>
            <w:top w:w="0" w:type="dxa"/>
            <w:left w:w="108" w:type="dxa"/>
            <w:bottom w:w="0" w:type="dxa"/>
            <w:right w:w="108" w:type="dxa"/>
          </w:tblCellMar>
        </w:tblPrEx>
        <w:trPr>
          <w:trHeight w:val="61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22"/>
              </w:rPr>
            </w:pPr>
            <w:r>
              <w:rPr>
                <w:rFonts w:ascii="宋体" w:hAnsi="宋体" w:eastAsia="宋体" w:cs="宋体"/>
                <w:b/>
                <w:bCs/>
                <w:color w:val="000000"/>
                <w:kern w:val="0"/>
                <w:sz w:val="22"/>
              </w:rPr>
              <w:t>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22"/>
              </w:rPr>
            </w:pPr>
            <w:r>
              <w:rPr>
                <w:rFonts w:hint="eastAsia" w:ascii="宋体" w:hAnsi="宋体" w:eastAsia="宋体" w:cs="宋体"/>
                <w:b/>
                <w:bCs/>
                <w:color w:val="000000"/>
                <w:kern w:val="0"/>
                <w:sz w:val="22"/>
              </w:rPr>
              <w:t>对个人和家庭的补助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305.53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2"/>
              </w:rPr>
            </w:pPr>
            <w:r>
              <w:rPr>
                <w:rFonts w:ascii="宋体" w:hAnsi="宋体" w:eastAsia="宋体" w:cs="宋体"/>
                <w:color w:val="000000"/>
                <w:kern w:val="0"/>
                <w:sz w:val="22"/>
              </w:rPr>
              <w:t>30301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457" w:firstLineChars="208"/>
              <w:jc w:val="left"/>
              <w:rPr>
                <w:rFonts w:ascii="宋体" w:hAnsi="宋体" w:eastAsia="宋体" w:cs="宋体"/>
                <w:color w:val="000000"/>
                <w:kern w:val="0"/>
                <w:sz w:val="22"/>
              </w:rPr>
            </w:pPr>
            <w:r>
              <w:rPr>
                <w:rFonts w:hint="eastAsia" w:ascii="宋体" w:hAnsi="宋体" w:eastAsia="宋体" w:cs="宋体"/>
                <w:color w:val="000000"/>
                <w:kern w:val="0"/>
                <w:sz w:val="22"/>
              </w:rPr>
              <w:t>离休费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49.61　</w:t>
            </w:r>
          </w:p>
        </w:tc>
      </w:tr>
      <w:tr>
        <w:tblPrEx>
          <w:tblCellMar>
            <w:top w:w="0" w:type="dxa"/>
            <w:left w:w="108" w:type="dxa"/>
            <w:bottom w:w="0" w:type="dxa"/>
            <w:right w:w="108" w:type="dxa"/>
          </w:tblCellMar>
        </w:tblPrEx>
        <w:trPr>
          <w:trHeight w:val="447"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2"/>
              </w:rPr>
            </w:pPr>
            <w:r>
              <w:rPr>
                <w:rFonts w:ascii="宋体" w:hAnsi="宋体" w:eastAsia="宋体" w:cs="宋体"/>
                <w:color w:val="000000"/>
                <w:kern w:val="0"/>
                <w:sz w:val="22"/>
              </w:rPr>
              <w:t>30399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457" w:firstLineChars="208"/>
              <w:jc w:val="left"/>
              <w:rPr>
                <w:rFonts w:ascii="宋体" w:hAnsi="宋体" w:eastAsia="宋体" w:cs="宋体"/>
                <w:color w:val="000000"/>
                <w:kern w:val="0"/>
                <w:sz w:val="22"/>
              </w:rPr>
            </w:pPr>
            <w:r>
              <w:rPr>
                <w:rFonts w:hint="eastAsia" w:ascii="宋体" w:hAnsi="宋体" w:eastAsia="宋体" w:cs="宋体"/>
                <w:color w:val="000000"/>
                <w:kern w:val="0"/>
                <w:sz w:val="22"/>
              </w:rPr>
              <w:t>其他对个人和家庭的补助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255.92　</w:t>
            </w:r>
          </w:p>
        </w:tc>
      </w:tr>
      <w:tr>
        <w:tblPrEx>
          <w:tblCellMar>
            <w:top w:w="0" w:type="dxa"/>
            <w:left w:w="108" w:type="dxa"/>
            <w:bottom w:w="0" w:type="dxa"/>
            <w:right w:w="108" w:type="dxa"/>
          </w:tblCellMar>
        </w:tblPrEx>
        <w:trPr>
          <w:trHeight w:val="597"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22"/>
              </w:rPr>
            </w:pPr>
            <w:r>
              <w:rPr>
                <w:rFonts w:ascii="宋体" w:hAnsi="宋体" w:eastAsia="宋体" w:cs="宋体"/>
                <w:b/>
                <w:bCs/>
                <w:color w:val="000000"/>
                <w:kern w:val="0"/>
                <w:sz w:val="22"/>
              </w:rPr>
              <w:t>310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22"/>
              </w:rPr>
            </w:pPr>
            <w:r>
              <w:rPr>
                <w:rFonts w:hint="eastAsia" w:ascii="宋体" w:hAnsi="宋体" w:eastAsia="宋体" w:cs="宋体"/>
                <w:b/>
                <w:bCs/>
                <w:color w:val="000000"/>
                <w:kern w:val="0"/>
                <w:sz w:val="22"/>
              </w:rPr>
              <w:t>资本性支出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59.45　</w:t>
            </w:r>
          </w:p>
        </w:tc>
      </w:tr>
      <w:tr>
        <w:tblPrEx>
          <w:tblCellMar>
            <w:top w:w="0" w:type="dxa"/>
            <w:left w:w="108" w:type="dxa"/>
            <w:bottom w:w="0" w:type="dxa"/>
            <w:right w:w="108" w:type="dxa"/>
          </w:tblCellMar>
        </w:tblPrEx>
        <w:trPr>
          <w:trHeight w:val="567"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2"/>
              </w:rPr>
            </w:pPr>
            <w:r>
              <w:rPr>
                <w:rFonts w:ascii="宋体" w:hAnsi="宋体" w:eastAsia="宋体" w:cs="宋体"/>
                <w:color w:val="000000"/>
                <w:kern w:val="0"/>
                <w:sz w:val="22"/>
              </w:rPr>
              <w:t>31002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457" w:firstLineChars="208"/>
              <w:jc w:val="left"/>
              <w:rPr>
                <w:rFonts w:ascii="宋体" w:hAnsi="宋体" w:eastAsia="宋体" w:cs="宋体"/>
                <w:color w:val="000000"/>
                <w:kern w:val="0"/>
                <w:sz w:val="22"/>
              </w:rPr>
            </w:pPr>
            <w:r>
              <w:rPr>
                <w:rFonts w:hint="eastAsia" w:ascii="宋体" w:hAnsi="宋体" w:eastAsia="宋体" w:cs="宋体"/>
                <w:color w:val="000000"/>
                <w:kern w:val="0"/>
                <w:sz w:val="22"/>
              </w:rPr>
              <w:t>办公设备购置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59.45　</w:t>
            </w:r>
          </w:p>
        </w:tc>
      </w:tr>
    </w:tbl>
    <w:p>
      <w:pPr>
        <w:widowControl/>
        <w:spacing w:line="300" w:lineRule="auto"/>
        <w:jc w:val="lef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pStyle w:val="4"/>
      </w:pPr>
      <w:bookmarkStart w:id="14" w:name="_Toc128561196"/>
      <w:r>
        <w:rPr>
          <w:rFonts w:hint="eastAsia"/>
        </w:rPr>
        <w:t>十、一般公共预算“三公”经费支出预算表</w:t>
      </w:r>
      <w:bookmarkEnd w:id="14"/>
    </w:p>
    <w:p>
      <w:pPr>
        <w:tabs>
          <w:tab w:val="left" w:pos="7513"/>
        </w:tabs>
        <w:adjustRightInd w:val="0"/>
        <w:snapToGrid w:val="0"/>
        <w:spacing w:line="300" w:lineRule="auto"/>
        <w:jc w:val="left"/>
        <w:rPr>
          <w:rFonts w:ascii="楷体" w:hAnsi="楷体" w:eastAsia="楷体" w:cs="Times New Roman"/>
          <w:kern w:val="0"/>
          <w:szCs w:val="21"/>
        </w:rPr>
      </w:pPr>
    </w:p>
    <w:tbl>
      <w:tblPr>
        <w:tblStyle w:val="10"/>
        <w:tblpPr w:leftFromText="180" w:rightFromText="180" w:vertAnchor="text" w:horzAnchor="page" w:tblpX="2393" w:tblpY="87"/>
        <w:tblOverlap w:val="never"/>
        <w:tblW w:w="7720" w:type="dxa"/>
        <w:tblInd w:w="0" w:type="dxa"/>
        <w:tblLayout w:type="fixed"/>
        <w:tblCellMar>
          <w:top w:w="0" w:type="dxa"/>
          <w:left w:w="108" w:type="dxa"/>
          <w:bottom w:w="0" w:type="dxa"/>
          <w:right w:w="108" w:type="dxa"/>
        </w:tblCellMar>
      </w:tblPr>
      <w:tblGrid>
        <w:gridCol w:w="4794"/>
        <w:gridCol w:w="809"/>
        <w:gridCol w:w="2117"/>
      </w:tblGrid>
      <w:tr>
        <w:tblPrEx>
          <w:tblCellMar>
            <w:top w:w="0" w:type="dxa"/>
            <w:left w:w="108" w:type="dxa"/>
            <w:bottom w:w="0" w:type="dxa"/>
            <w:right w:w="108" w:type="dxa"/>
          </w:tblCellMar>
        </w:tblPrEx>
        <w:trPr>
          <w:trHeight w:val="1198" w:hRule="atLeast"/>
        </w:trPr>
        <w:tc>
          <w:tcPr>
            <w:tcW w:w="7720" w:type="dxa"/>
            <w:gridSpan w:val="3"/>
            <w:tcBorders>
              <w:top w:val="nil"/>
              <w:left w:val="nil"/>
              <w:bottom w:val="nil"/>
              <w:right w:val="nil"/>
            </w:tcBorders>
            <w:shd w:val="clear" w:color="auto" w:fill="auto"/>
            <w:noWrap/>
            <w:vAlign w:val="center"/>
          </w:tcPr>
          <w:p>
            <w:pPr>
              <w:widowControl/>
              <w:spacing w:line="240" w:lineRule="auto"/>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rPr>
              <w:t>2023年度一般公共预算“三公”经费支出预算表</w:t>
            </w:r>
          </w:p>
        </w:tc>
      </w:tr>
      <w:tr>
        <w:tblPrEx>
          <w:tblCellMar>
            <w:top w:w="0" w:type="dxa"/>
            <w:left w:w="108" w:type="dxa"/>
            <w:bottom w:w="0" w:type="dxa"/>
            <w:right w:w="108" w:type="dxa"/>
          </w:tblCellMar>
        </w:tblPrEx>
        <w:trPr>
          <w:trHeight w:val="518" w:hRule="atLeast"/>
        </w:trPr>
        <w:tc>
          <w:tcPr>
            <w:tcW w:w="5603" w:type="dxa"/>
            <w:gridSpan w:val="2"/>
            <w:tcBorders>
              <w:top w:val="nil"/>
              <w:left w:val="nil"/>
              <w:bottom w:val="nil"/>
              <w:right w:val="nil"/>
            </w:tcBorders>
            <w:shd w:val="clear" w:color="auto" w:fill="auto"/>
            <w:noWrap/>
            <w:vAlign w:val="center"/>
          </w:tcPr>
          <w:p>
            <w:pPr>
              <w:widowControl/>
              <w:spacing w:line="240" w:lineRule="auto"/>
              <w:jc w:val="left"/>
              <w:rPr>
                <w:rFonts w:ascii="楷体_GB2312" w:hAnsi="宋体" w:eastAsia="楷体_GB2312" w:cs="宋体"/>
                <w:kern w:val="0"/>
                <w:sz w:val="24"/>
                <w:szCs w:val="24"/>
              </w:rPr>
            </w:pPr>
          </w:p>
        </w:tc>
        <w:tc>
          <w:tcPr>
            <w:tcW w:w="2117"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584" w:hRule="atLeast"/>
        </w:trPr>
        <w:tc>
          <w:tcPr>
            <w:tcW w:w="47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29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584" w:hRule="atLeast"/>
        </w:trPr>
        <w:tc>
          <w:tcPr>
            <w:tcW w:w="479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2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17.18</w:t>
            </w:r>
          </w:p>
        </w:tc>
      </w:tr>
      <w:tr>
        <w:tblPrEx>
          <w:tblCellMar>
            <w:top w:w="0" w:type="dxa"/>
            <w:left w:w="108" w:type="dxa"/>
            <w:bottom w:w="0" w:type="dxa"/>
            <w:right w:w="108" w:type="dxa"/>
          </w:tblCellMar>
        </w:tblPrEx>
        <w:trPr>
          <w:trHeight w:val="584" w:hRule="atLeast"/>
        </w:trPr>
        <w:tc>
          <w:tcPr>
            <w:tcW w:w="479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1、因公出国（境）费用</w:t>
            </w:r>
          </w:p>
        </w:tc>
        <w:tc>
          <w:tcPr>
            <w:tcW w:w="292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5</w:t>
            </w:r>
          </w:p>
        </w:tc>
      </w:tr>
      <w:tr>
        <w:tblPrEx>
          <w:tblCellMar>
            <w:top w:w="0" w:type="dxa"/>
            <w:left w:w="108" w:type="dxa"/>
            <w:bottom w:w="0" w:type="dxa"/>
            <w:right w:w="108" w:type="dxa"/>
          </w:tblCellMar>
        </w:tblPrEx>
        <w:trPr>
          <w:trHeight w:val="584" w:hRule="atLeast"/>
        </w:trPr>
        <w:tc>
          <w:tcPr>
            <w:tcW w:w="479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2、公务接待费</w:t>
            </w:r>
          </w:p>
        </w:tc>
        <w:tc>
          <w:tcPr>
            <w:tcW w:w="292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3.65　</w:t>
            </w:r>
          </w:p>
        </w:tc>
      </w:tr>
      <w:tr>
        <w:tblPrEx>
          <w:tblCellMar>
            <w:top w:w="0" w:type="dxa"/>
            <w:left w:w="108" w:type="dxa"/>
            <w:bottom w:w="0" w:type="dxa"/>
            <w:right w:w="108" w:type="dxa"/>
          </w:tblCellMar>
        </w:tblPrEx>
        <w:trPr>
          <w:trHeight w:val="584" w:hRule="atLeast"/>
        </w:trPr>
        <w:tc>
          <w:tcPr>
            <w:tcW w:w="479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3、公务用车购置及运行费</w:t>
            </w:r>
          </w:p>
        </w:tc>
        <w:tc>
          <w:tcPr>
            <w:tcW w:w="292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8.53　</w:t>
            </w:r>
          </w:p>
        </w:tc>
      </w:tr>
      <w:tr>
        <w:tblPrEx>
          <w:tblCellMar>
            <w:top w:w="0" w:type="dxa"/>
            <w:left w:w="108" w:type="dxa"/>
            <w:bottom w:w="0" w:type="dxa"/>
            <w:right w:w="108" w:type="dxa"/>
          </w:tblCellMar>
        </w:tblPrEx>
        <w:trPr>
          <w:trHeight w:val="643" w:hRule="atLeast"/>
        </w:trPr>
        <w:tc>
          <w:tcPr>
            <w:tcW w:w="47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440" w:firstLineChars="200"/>
              <w:jc w:val="left"/>
              <w:rPr>
                <w:rFonts w:ascii="宋体" w:hAnsi="宋体" w:eastAsia="宋体" w:cs="宋体"/>
                <w:kern w:val="0"/>
                <w:sz w:val="22"/>
              </w:rPr>
            </w:pPr>
            <w:r>
              <w:rPr>
                <w:rFonts w:hint="eastAsia" w:ascii="宋体" w:hAnsi="宋体" w:eastAsia="宋体" w:cs="宋体"/>
                <w:kern w:val="0"/>
                <w:sz w:val="22"/>
              </w:rPr>
              <w:t>其中：（1）公务用车购置费</w:t>
            </w:r>
          </w:p>
        </w:tc>
        <w:tc>
          <w:tcPr>
            <w:tcW w:w="292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0</w:t>
            </w:r>
          </w:p>
        </w:tc>
      </w:tr>
      <w:tr>
        <w:tblPrEx>
          <w:tblCellMar>
            <w:top w:w="0" w:type="dxa"/>
            <w:left w:w="108" w:type="dxa"/>
            <w:bottom w:w="0" w:type="dxa"/>
            <w:right w:w="108" w:type="dxa"/>
          </w:tblCellMar>
        </w:tblPrEx>
        <w:trPr>
          <w:trHeight w:val="662" w:hRule="atLeast"/>
        </w:trPr>
        <w:tc>
          <w:tcPr>
            <w:tcW w:w="479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xml:space="preserve">          （2）公务用车运行费</w:t>
            </w:r>
          </w:p>
        </w:tc>
        <w:tc>
          <w:tcPr>
            <w:tcW w:w="292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8.53</w:t>
            </w:r>
          </w:p>
        </w:tc>
      </w:tr>
    </w:tbl>
    <w:p>
      <w:pPr>
        <w:tabs>
          <w:tab w:val="left" w:pos="7513"/>
        </w:tabs>
        <w:adjustRightInd w:val="0"/>
        <w:snapToGrid w:val="0"/>
        <w:spacing w:line="300" w:lineRule="auto"/>
        <w:jc w:val="left"/>
        <w:rPr>
          <w:rFonts w:ascii="楷体" w:hAnsi="楷体" w:eastAsia="楷体" w:cs="Times New Roman"/>
          <w:kern w:val="0"/>
          <w:szCs w:val="21"/>
        </w:rPr>
      </w:pPr>
    </w:p>
    <w:p>
      <w:pPr>
        <w:tabs>
          <w:tab w:val="left" w:pos="7513"/>
        </w:tabs>
        <w:adjustRightInd w:val="0"/>
        <w:snapToGrid w:val="0"/>
        <w:spacing w:line="300" w:lineRule="auto"/>
        <w:jc w:val="left"/>
        <w:rPr>
          <w:rFonts w:ascii="楷体" w:hAnsi="楷体" w:eastAsia="楷体" w:cs="Times New Roman"/>
          <w:kern w:val="0"/>
          <w:szCs w:val="21"/>
        </w:rPr>
      </w:pPr>
    </w:p>
    <w:p>
      <w:pPr>
        <w:tabs>
          <w:tab w:val="left" w:pos="7513"/>
        </w:tabs>
        <w:adjustRightInd w:val="0"/>
        <w:snapToGrid w:val="0"/>
        <w:spacing w:line="300" w:lineRule="auto"/>
        <w:jc w:val="left"/>
        <w:rPr>
          <w:rFonts w:ascii="楷体" w:hAnsi="楷体" w:eastAsia="楷体" w:cs="Times New Roman"/>
          <w:kern w:val="0"/>
          <w:szCs w:val="21"/>
        </w:rPr>
      </w:pPr>
    </w:p>
    <w:p>
      <w:pPr>
        <w:tabs>
          <w:tab w:val="left" w:pos="7513"/>
        </w:tabs>
        <w:adjustRightInd w:val="0"/>
        <w:snapToGrid w:val="0"/>
        <w:spacing w:line="300" w:lineRule="auto"/>
        <w:jc w:val="left"/>
        <w:rPr>
          <w:rFonts w:ascii="楷体" w:hAnsi="楷体" w:eastAsia="楷体" w:cs="Times New Roman"/>
          <w:kern w:val="0"/>
          <w:szCs w:val="21"/>
        </w:rPr>
      </w:pPr>
    </w:p>
    <w:p>
      <w:pPr>
        <w:tabs>
          <w:tab w:val="left" w:pos="7513"/>
        </w:tabs>
        <w:adjustRightInd w:val="0"/>
        <w:snapToGrid w:val="0"/>
        <w:spacing w:line="300" w:lineRule="auto"/>
        <w:jc w:val="left"/>
        <w:rPr>
          <w:rFonts w:ascii="楷体" w:hAnsi="楷体" w:eastAsia="楷体" w:cs="Times New Roman"/>
          <w:kern w:val="0"/>
          <w:szCs w:val="21"/>
        </w:rPr>
      </w:pPr>
    </w:p>
    <w:p>
      <w:pPr>
        <w:tabs>
          <w:tab w:val="left" w:pos="7513"/>
        </w:tabs>
        <w:adjustRightInd w:val="0"/>
        <w:snapToGrid w:val="0"/>
        <w:spacing w:line="300" w:lineRule="auto"/>
        <w:jc w:val="left"/>
        <w:rPr>
          <w:rFonts w:ascii="楷体" w:hAnsi="楷体" w:eastAsia="楷体" w:cs="Times New Roman"/>
          <w:kern w:val="0"/>
          <w:szCs w:val="21"/>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pStyle w:val="4"/>
      </w:pPr>
      <w:bookmarkStart w:id="15" w:name="_Toc128561197"/>
      <w:r>
        <w:rPr>
          <w:rFonts w:hint="eastAsia"/>
        </w:rPr>
        <w:t>十一、部门专项资金管理清单目录</w:t>
      </w:r>
      <w:bookmarkEnd w:id="15"/>
    </w:p>
    <w:tbl>
      <w:tblPr>
        <w:tblStyle w:val="10"/>
        <w:tblW w:w="13998" w:type="dxa"/>
        <w:tblInd w:w="93" w:type="dxa"/>
        <w:tblLayout w:type="autofit"/>
        <w:tblCellMar>
          <w:top w:w="0" w:type="dxa"/>
          <w:left w:w="108" w:type="dxa"/>
          <w:bottom w:w="0" w:type="dxa"/>
          <w:right w:w="108" w:type="dxa"/>
        </w:tblCellMar>
      </w:tblPr>
      <w:tblGrid>
        <w:gridCol w:w="1149"/>
        <w:gridCol w:w="1354"/>
        <w:gridCol w:w="1056"/>
        <w:gridCol w:w="1134"/>
        <w:gridCol w:w="1134"/>
        <w:gridCol w:w="1134"/>
        <w:gridCol w:w="1134"/>
        <w:gridCol w:w="1040"/>
        <w:gridCol w:w="1200"/>
        <w:gridCol w:w="1200"/>
        <w:gridCol w:w="1188"/>
        <w:gridCol w:w="1275"/>
      </w:tblGrid>
      <w:tr>
        <w:tblPrEx>
          <w:tblCellMar>
            <w:top w:w="0" w:type="dxa"/>
            <w:left w:w="108" w:type="dxa"/>
            <w:bottom w:w="0" w:type="dxa"/>
            <w:right w:w="108" w:type="dxa"/>
          </w:tblCellMar>
        </w:tblPrEx>
        <w:trPr>
          <w:trHeight w:val="525" w:hRule="atLeast"/>
        </w:trPr>
        <w:tc>
          <w:tcPr>
            <w:tcW w:w="13998" w:type="dxa"/>
            <w:gridSpan w:val="12"/>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p>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2023年度部门专项资金管理清单目录</w:t>
            </w:r>
          </w:p>
        </w:tc>
      </w:tr>
      <w:tr>
        <w:tblPrEx>
          <w:tblCellMar>
            <w:top w:w="0" w:type="dxa"/>
            <w:left w:w="108" w:type="dxa"/>
            <w:bottom w:w="0" w:type="dxa"/>
            <w:right w:w="108" w:type="dxa"/>
          </w:tblCellMar>
        </w:tblPrEx>
        <w:trPr>
          <w:trHeight w:val="465" w:hRule="atLeast"/>
        </w:trPr>
        <w:tc>
          <w:tcPr>
            <w:tcW w:w="1149"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35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56"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4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20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20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88" w:type="dxa"/>
            <w:tcBorders>
              <w:top w:val="nil"/>
              <w:left w:val="nil"/>
              <w:bottom w:val="nil"/>
              <w:right w:val="nil"/>
            </w:tcBorders>
          </w:tcPr>
          <w:p>
            <w:pPr>
              <w:widowControl/>
              <w:spacing w:line="240" w:lineRule="auto"/>
              <w:jc w:val="right"/>
              <w:rPr>
                <w:rFonts w:ascii="宋体" w:hAnsi="宋体" w:eastAsia="宋体" w:cs="宋体"/>
                <w:kern w:val="0"/>
                <w:sz w:val="22"/>
              </w:rPr>
            </w:pPr>
          </w:p>
        </w:tc>
        <w:tc>
          <w:tcPr>
            <w:tcW w:w="1275"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621" w:hRule="atLeast"/>
        </w:trPr>
        <w:tc>
          <w:tcPr>
            <w:tcW w:w="11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主管部门名称</w:t>
            </w:r>
          </w:p>
        </w:tc>
        <w:tc>
          <w:tcPr>
            <w:tcW w:w="135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专项资金立项项目名称</w:t>
            </w:r>
          </w:p>
        </w:tc>
        <w:tc>
          <w:tcPr>
            <w:tcW w:w="105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立项依据</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执行年限</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实施规划</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总体绩效目标</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支出级次</w:t>
            </w:r>
          </w:p>
        </w:tc>
        <w:tc>
          <w:tcPr>
            <w:tcW w:w="4628"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资金拼盘</w:t>
            </w:r>
          </w:p>
        </w:tc>
        <w:tc>
          <w:tcPr>
            <w:tcW w:w="12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资金分配办法及支出标准</w:t>
            </w:r>
          </w:p>
        </w:tc>
      </w:tr>
      <w:tr>
        <w:tblPrEx>
          <w:tblCellMar>
            <w:top w:w="0" w:type="dxa"/>
            <w:left w:w="108" w:type="dxa"/>
            <w:bottom w:w="0" w:type="dxa"/>
            <w:right w:w="108" w:type="dxa"/>
          </w:tblCellMar>
        </w:tblPrEx>
        <w:trPr>
          <w:trHeight w:val="735" w:hRule="atLeast"/>
        </w:trPr>
        <w:tc>
          <w:tcPr>
            <w:tcW w:w="114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35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05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0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小计</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188"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777"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5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5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88"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宋体" w:hAnsi="宋体" w:eastAsia="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5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5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88"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宋体" w:hAnsi="宋体" w:eastAsia="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tabs>
          <w:tab w:val="left" w:pos="798"/>
        </w:tabs>
        <w:spacing w:line="240" w:lineRule="auto"/>
        <w:ind w:firstLine="480" w:firstLineChars="200"/>
        <w:rPr>
          <w:rFonts w:ascii="仿宋" w:hAnsi="仿宋" w:eastAsia="仿宋"/>
          <w:sz w:val="24"/>
          <w:szCs w:val="24"/>
        </w:rPr>
      </w:pPr>
    </w:p>
    <w:p>
      <w:pPr>
        <w:tabs>
          <w:tab w:val="left" w:pos="798"/>
        </w:tabs>
        <w:spacing w:line="240" w:lineRule="auto"/>
        <w:ind w:firstLine="480" w:firstLineChars="200"/>
        <w:rPr>
          <w:rFonts w:ascii="仿宋" w:hAnsi="仿宋" w:eastAsia="仿宋"/>
          <w:sz w:val="24"/>
          <w:szCs w:val="24"/>
        </w:rPr>
        <w:sectPr>
          <w:pgSz w:w="16838" w:h="11906" w:orient="landscape"/>
          <w:pgMar w:top="1800" w:right="1440" w:bottom="1800" w:left="1440" w:header="851" w:footer="992" w:gutter="0"/>
          <w:cols w:space="425" w:num="1"/>
          <w:docGrid w:type="lines" w:linePitch="312" w:charSpace="0"/>
        </w:sectPr>
      </w:pPr>
      <w:r>
        <w:rPr>
          <w:rFonts w:hint="eastAsia" w:ascii="仿宋" w:hAnsi="仿宋" w:eastAsia="仿宋"/>
          <w:sz w:val="24"/>
          <w:szCs w:val="24"/>
        </w:rPr>
        <w:t>备注：本单位2023年度没有由本部门管理的专项资金。</w:t>
      </w: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2"/>
        <w:ind w:left="840" w:hanging="840" w:hangingChars="150"/>
      </w:pPr>
      <w:bookmarkStart w:id="16" w:name="_Toc128561198"/>
      <w:r>
        <w:rPr>
          <w:rFonts w:hint="eastAsia"/>
        </w:rPr>
        <w:t>第三部分</w:t>
      </w:r>
      <w:r>
        <w:rPr>
          <w:rFonts w:hint="eastAsia"/>
        </w:rPr>
        <w:br w:type="textWrapping"/>
      </w:r>
      <w:r>
        <w:rPr>
          <w:rFonts w:hint="eastAsia"/>
        </w:rPr>
        <w:t>2023年度部门预算情况说明</w:t>
      </w:r>
      <w:bookmarkEnd w:id="16"/>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pgSz w:w="11906" w:h="16838"/>
          <w:pgMar w:top="1440" w:right="1800" w:bottom="1440" w:left="1800" w:header="851" w:footer="992" w:gutter="0"/>
          <w:cols w:space="425" w:num="1"/>
          <w:docGrid w:type="lines" w:linePitch="312" w:charSpace="0"/>
        </w:sectPr>
      </w:pPr>
    </w:p>
    <w:p>
      <w:pPr>
        <w:pStyle w:val="4"/>
      </w:pPr>
      <w:bookmarkStart w:id="17" w:name="_Toc128561199"/>
      <w:r>
        <w:rPr>
          <w:rFonts w:hint="eastAsia"/>
        </w:rPr>
        <w:t>一、预算收支总体情况</w:t>
      </w:r>
      <w:bookmarkEnd w:id="17"/>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按照综合预算的原则，单位所有收入和支出均纳入部门预算管理。2023年，福建省中医药科学院收入预算为6062.45万元，比上年增加2071.81万元，主要原因是：本年度人员经费及中医药专项等收入预算增加。其中：一般公共预算拨款收入2408.48万元、事业收入1915.70万元、其他收入1738.27万元。</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相应安排支出预算6062.45万元，比上年增加2071.81万元，主要原因是2023年度人员经费及中医药专项等经费支出预算增加</w:t>
      </w:r>
      <w:r>
        <w:rPr>
          <w:rFonts w:hint="eastAsia" w:ascii="仿宋" w:hAnsi="仿宋" w:eastAsia="仿宋" w:cs="仿宋_GB2312"/>
          <w:sz w:val="32"/>
          <w:szCs w:val="32"/>
        </w:rPr>
        <w:t>。</w:t>
      </w:r>
      <w:r>
        <w:rPr>
          <w:rFonts w:hint="eastAsia" w:ascii="仿宋" w:hAnsi="仿宋" w:eastAsia="仿宋"/>
          <w:sz w:val="32"/>
          <w:szCs w:val="32"/>
        </w:rPr>
        <w:t>其中：基本支出2951.45万元、项目支出3111万元。</w:t>
      </w:r>
    </w:p>
    <w:p>
      <w:pPr>
        <w:pStyle w:val="4"/>
      </w:pPr>
      <w:bookmarkStart w:id="18" w:name="_Toc128561200"/>
      <w:r>
        <w:rPr>
          <w:rFonts w:hint="eastAsia"/>
        </w:rPr>
        <w:t>二、一般公共预算拨款支出情况</w:t>
      </w:r>
      <w:bookmarkEnd w:id="18"/>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2023年度一般公共预算拨款支出2408.48万元</w:t>
      </w:r>
      <w:r>
        <w:rPr>
          <w:rFonts w:hint="eastAsia" w:ascii="仿宋" w:hAnsi="仿宋" w:eastAsia="仿宋"/>
          <w:sz w:val="32"/>
          <w:szCs w:val="32"/>
        </w:rPr>
        <w:t>，比上年增加1040.85</w:t>
      </w:r>
      <w:r>
        <w:rPr>
          <w:rFonts w:hint="eastAsia" w:ascii="仿宋" w:hAnsi="仿宋" w:eastAsia="仿宋" w:cs="仿宋_GB2312"/>
          <w:kern w:val="0"/>
          <w:sz w:val="32"/>
          <w:szCs w:val="32"/>
        </w:rPr>
        <w:t>万元，</w:t>
      </w:r>
      <w:r>
        <w:rPr>
          <w:rFonts w:hint="eastAsia" w:ascii="仿宋" w:hAnsi="仿宋" w:eastAsia="仿宋" w:cs="仿宋_GB2312"/>
          <w:sz w:val="32"/>
          <w:szCs w:val="32"/>
        </w:rPr>
        <w:t>增长76.11</w:t>
      </w:r>
      <w:r>
        <w:rPr>
          <w:rFonts w:ascii="仿宋" w:hAnsi="仿宋" w:eastAsia="仿宋" w:cs="仿宋_GB2312"/>
          <w:sz w:val="32"/>
          <w:szCs w:val="32"/>
        </w:rPr>
        <w:t>%</w:t>
      </w:r>
      <w:r>
        <w:rPr>
          <w:rFonts w:hint="eastAsia" w:ascii="仿宋" w:hAnsi="仿宋" w:eastAsia="仿宋" w:cs="仿宋_GB2312"/>
          <w:sz w:val="32"/>
          <w:szCs w:val="32"/>
        </w:rPr>
        <w:t>，</w:t>
      </w:r>
      <w:r>
        <w:rPr>
          <w:rFonts w:hint="eastAsia" w:ascii="仿宋" w:hAnsi="仿宋" w:eastAsia="仿宋"/>
          <w:sz w:val="32"/>
          <w:szCs w:val="32"/>
        </w:rPr>
        <w:t>主要原因是</w:t>
      </w:r>
      <w:r>
        <w:rPr>
          <w:rFonts w:hint="eastAsia" w:ascii="仿宋" w:hAnsi="仿宋" w:eastAsia="仿宋" w:cs="仿宋_GB2312"/>
          <w:sz w:val="32"/>
          <w:szCs w:val="32"/>
        </w:rPr>
        <w:t>人员经费增加。按照党中央、国务院和省委、省政府关于过紧日子的有关要求，厉行节约办一切事业，大力压减一般性支出，重点压减会议培训费、差旅费等项目支出中涉及的非急需非刚性支出，同时合理保障了基础研究机构运行等支出需求，体现在有关支出科目中。</w:t>
      </w:r>
      <w:r>
        <w:rPr>
          <w:rFonts w:hint="eastAsia" w:ascii="仿宋" w:hAnsi="仿宋" w:eastAsia="仿宋" w:cs="宋体"/>
          <w:bCs/>
          <w:sz w:val="32"/>
          <w:szCs w:val="32"/>
        </w:rPr>
        <w:t>其中（按项级科目分类统计）</w:t>
      </w:r>
      <w:r>
        <w:rPr>
          <w:rFonts w:hint="eastAsia" w:ascii="仿宋" w:hAnsi="仿宋" w:eastAsia="仿宋" w:cs="仿宋_GB2312"/>
          <w:sz w:val="32"/>
          <w:szCs w:val="32"/>
        </w:rPr>
        <w:t>：</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（一）基础研究-机构运行（</w:t>
      </w:r>
      <w:r>
        <w:rPr>
          <w:rFonts w:ascii="仿宋" w:hAnsi="仿宋" w:eastAsia="仿宋" w:cs="仿宋_GB2312"/>
          <w:sz w:val="32"/>
          <w:szCs w:val="32"/>
        </w:rPr>
        <w:t>20</w:t>
      </w:r>
      <w:r>
        <w:rPr>
          <w:rFonts w:hint="eastAsia" w:ascii="仿宋" w:hAnsi="仿宋" w:eastAsia="仿宋" w:cs="仿宋_GB2312"/>
          <w:sz w:val="32"/>
          <w:szCs w:val="32"/>
        </w:rPr>
        <w:t>6</w:t>
      </w:r>
      <w:r>
        <w:rPr>
          <w:rFonts w:ascii="仿宋" w:hAnsi="仿宋" w:eastAsia="仿宋" w:cs="仿宋_GB2312"/>
          <w:sz w:val="32"/>
          <w:szCs w:val="32"/>
        </w:rPr>
        <w:t>020</w:t>
      </w:r>
      <w:r>
        <w:rPr>
          <w:rFonts w:hint="eastAsia" w:ascii="仿宋" w:hAnsi="仿宋" w:eastAsia="仿宋" w:cs="仿宋_GB2312"/>
          <w:sz w:val="32"/>
          <w:szCs w:val="32"/>
        </w:rPr>
        <w:t>1）1649.64万元。主要是基础研究科研机构运行的基本支出。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（二）事业单位离退休（2080502）317.43万元。主要用于单位离退休经费支出。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（三）机关事业单位基本养老保险缴费支出（</w:t>
      </w:r>
      <w:r>
        <w:rPr>
          <w:rFonts w:ascii="仿宋" w:hAnsi="仿宋" w:eastAsia="仿宋" w:cs="仿宋_GB2312"/>
          <w:sz w:val="32"/>
          <w:szCs w:val="32"/>
        </w:rPr>
        <w:t>20</w:t>
      </w:r>
      <w:r>
        <w:rPr>
          <w:rFonts w:hint="eastAsia" w:ascii="仿宋" w:hAnsi="仿宋" w:eastAsia="仿宋" w:cs="仿宋_GB2312"/>
          <w:sz w:val="32"/>
          <w:szCs w:val="32"/>
        </w:rPr>
        <w:t>8</w:t>
      </w:r>
      <w:r>
        <w:rPr>
          <w:rFonts w:ascii="仿宋" w:hAnsi="仿宋" w:eastAsia="仿宋" w:cs="仿宋_GB2312"/>
          <w:sz w:val="32"/>
          <w:szCs w:val="32"/>
        </w:rPr>
        <w:t>0</w:t>
      </w:r>
      <w:r>
        <w:rPr>
          <w:rFonts w:hint="eastAsia" w:ascii="仿宋" w:hAnsi="仿宋" w:eastAsia="仿宋" w:cs="仿宋_GB2312"/>
          <w:sz w:val="32"/>
          <w:szCs w:val="32"/>
        </w:rPr>
        <w:t>5</w:t>
      </w:r>
      <w:r>
        <w:rPr>
          <w:rFonts w:ascii="仿宋" w:hAnsi="仿宋" w:eastAsia="仿宋" w:cs="仿宋_GB2312"/>
          <w:sz w:val="32"/>
          <w:szCs w:val="32"/>
        </w:rPr>
        <w:t>0</w:t>
      </w:r>
      <w:r>
        <w:rPr>
          <w:rFonts w:hint="eastAsia" w:ascii="仿宋" w:hAnsi="仿宋" w:eastAsia="仿宋" w:cs="仿宋_GB2312"/>
          <w:sz w:val="32"/>
          <w:szCs w:val="32"/>
        </w:rPr>
        <w:t>5）136.72万元。主要用于单位在职人员养老保险费。</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（四）事业单位医疗（</w:t>
      </w:r>
      <w:r>
        <w:rPr>
          <w:rFonts w:ascii="仿宋" w:hAnsi="仿宋" w:eastAsia="仿宋" w:cs="仿宋_GB2312"/>
          <w:sz w:val="32"/>
          <w:szCs w:val="32"/>
        </w:rPr>
        <w:t>2</w:t>
      </w:r>
      <w:r>
        <w:rPr>
          <w:rFonts w:hint="eastAsia" w:ascii="仿宋" w:hAnsi="仿宋" w:eastAsia="仿宋" w:cs="仿宋_GB2312"/>
          <w:sz w:val="32"/>
          <w:szCs w:val="32"/>
        </w:rPr>
        <w:t>1</w:t>
      </w:r>
      <w:r>
        <w:rPr>
          <w:rFonts w:ascii="仿宋" w:hAnsi="仿宋" w:eastAsia="仿宋" w:cs="仿宋_GB2312"/>
          <w:sz w:val="32"/>
          <w:szCs w:val="32"/>
        </w:rPr>
        <w:t>0</w:t>
      </w:r>
      <w:r>
        <w:rPr>
          <w:rFonts w:hint="eastAsia" w:ascii="仿宋" w:hAnsi="仿宋" w:eastAsia="仿宋" w:cs="仿宋_GB2312"/>
          <w:sz w:val="32"/>
          <w:szCs w:val="32"/>
        </w:rPr>
        <w:t>110</w:t>
      </w:r>
      <w:r>
        <w:rPr>
          <w:rFonts w:ascii="仿宋" w:hAnsi="仿宋" w:eastAsia="仿宋" w:cs="仿宋_GB2312"/>
          <w:sz w:val="32"/>
          <w:szCs w:val="32"/>
        </w:rPr>
        <w:t>2</w:t>
      </w:r>
      <w:r>
        <w:rPr>
          <w:rFonts w:hint="eastAsia" w:ascii="仿宋" w:hAnsi="仿宋" w:eastAsia="仿宋" w:cs="仿宋_GB2312"/>
          <w:sz w:val="32"/>
          <w:szCs w:val="32"/>
        </w:rPr>
        <w:t>）67.88万元。主要是单位在职人员工伤、生育、医疗保险费支出。</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（五）住房公积金（</w:t>
      </w:r>
      <w:r>
        <w:rPr>
          <w:rFonts w:ascii="仿宋" w:hAnsi="仿宋" w:eastAsia="仿宋" w:cs="仿宋_GB2312"/>
          <w:sz w:val="32"/>
          <w:szCs w:val="32"/>
        </w:rPr>
        <w:t>2</w:t>
      </w:r>
      <w:r>
        <w:rPr>
          <w:rFonts w:hint="eastAsia" w:ascii="仿宋" w:hAnsi="仿宋" w:eastAsia="仿宋" w:cs="仿宋_GB2312"/>
          <w:sz w:val="32"/>
          <w:szCs w:val="32"/>
        </w:rPr>
        <w:t>210201）195.92万元。主要用于单位住房公积金支出。</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（六）提租补贴（</w:t>
      </w:r>
      <w:r>
        <w:rPr>
          <w:rFonts w:ascii="仿宋" w:hAnsi="仿宋" w:eastAsia="仿宋" w:cs="仿宋_GB2312"/>
          <w:sz w:val="32"/>
          <w:szCs w:val="32"/>
        </w:rPr>
        <w:t>2</w:t>
      </w:r>
      <w:r>
        <w:rPr>
          <w:rFonts w:hint="eastAsia" w:ascii="仿宋" w:hAnsi="仿宋" w:eastAsia="仿宋" w:cs="仿宋_GB2312"/>
          <w:sz w:val="32"/>
          <w:szCs w:val="32"/>
        </w:rPr>
        <w:t>21020</w:t>
      </w:r>
      <w:r>
        <w:rPr>
          <w:rFonts w:ascii="仿宋" w:hAnsi="仿宋" w:eastAsia="仿宋" w:cs="仿宋_GB2312"/>
          <w:sz w:val="32"/>
          <w:szCs w:val="32"/>
        </w:rPr>
        <w:t>2</w:t>
      </w:r>
      <w:r>
        <w:rPr>
          <w:rFonts w:hint="eastAsia" w:ascii="仿宋" w:hAnsi="仿宋" w:eastAsia="仿宋" w:cs="仿宋_GB2312"/>
          <w:sz w:val="32"/>
          <w:szCs w:val="32"/>
        </w:rPr>
        <w:t>）40.89万元。主要用于单位提租补贴支出。</w:t>
      </w:r>
    </w:p>
    <w:p>
      <w:pPr>
        <w:pStyle w:val="4"/>
      </w:pPr>
      <w:bookmarkStart w:id="19" w:name="_Toc128561201"/>
      <w:r>
        <w:rPr>
          <w:rFonts w:hint="eastAsia"/>
        </w:rPr>
        <w:t>三、政府性基金预算拨款支出情况</w:t>
      </w:r>
      <w:bookmarkEnd w:id="19"/>
    </w:p>
    <w:p>
      <w:pPr>
        <w:tabs>
          <w:tab w:val="left" w:pos="7513"/>
        </w:tabs>
        <w:adjustRightInd w:val="0"/>
        <w:snapToGrid w:val="0"/>
        <w:spacing w:line="600" w:lineRule="exact"/>
        <w:ind w:firstLine="640" w:firstLineChars="200"/>
        <w:rPr>
          <w:rFonts w:ascii="仿宋" w:hAnsi="仿宋" w:eastAsia="仿宋" w:cs="宋体"/>
          <w:bCs/>
          <w:sz w:val="32"/>
          <w:szCs w:val="32"/>
        </w:rPr>
      </w:pPr>
      <w:r>
        <w:rPr>
          <w:rFonts w:hint="eastAsia" w:ascii="仿宋" w:hAnsi="仿宋" w:eastAsia="仿宋" w:cs="宋体"/>
          <w:bCs/>
          <w:sz w:val="32"/>
          <w:szCs w:val="32"/>
        </w:rPr>
        <w:t>本单位2023年度没有使用政府性基金预算拨款安排的支出。</w:t>
      </w:r>
    </w:p>
    <w:p>
      <w:pPr>
        <w:pStyle w:val="4"/>
      </w:pPr>
      <w:bookmarkStart w:id="20" w:name="_Toc128561202"/>
      <w:r>
        <w:rPr>
          <w:rFonts w:hint="eastAsia"/>
        </w:rPr>
        <w:t>四、国有资本经营预算拨款支出情况</w:t>
      </w:r>
      <w:bookmarkEnd w:id="20"/>
    </w:p>
    <w:p>
      <w:pPr>
        <w:tabs>
          <w:tab w:val="left" w:pos="7513"/>
        </w:tabs>
        <w:adjustRightInd w:val="0"/>
        <w:snapToGrid w:val="0"/>
        <w:spacing w:line="600" w:lineRule="exact"/>
        <w:ind w:firstLine="640" w:firstLineChars="200"/>
        <w:rPr>
          <w:rFonts w:ascii="仿宋" w:hAnsi="仿宋" w:eastAsia="仿宋" w:cs="宋体"/>
          <w:bCs/>
          <w:sz w:val="32"/>
          <w:szCs w:val="32"/>
        </w:rPr>
      </w:pPr>
      <w:r>
        <w:rPr>
          <w:rFonts w:hint="eastAsia" w:ascii="仿宋" w:hAnsi="仿宋" w:eastAsia="仿宋" w:cs="宋体"/>
          <w:bCs/>
          <w:sz w:val="32"/>
          <w:szCs w:val="32"/>
        </w:rPr>
        <w:t>本单位 2023年度没有使用政府性基金预算拨款安排的支出。</w:t>
      </w:r>
    </w:p>
    <w:p>
      <w:pPr>
        <w:pStyle w:val="4"/>
      </w:pPr>
      <w:bookmarkStart w:id="21" w:name="_Toc128561203"/>
      <w:r>
        <w:rPr>
          <w:rFonts w:hint="eastAsia"/>
        </w:rPr>
        <w:t>五、一般公共预算拨款基本支出情况</w:t>
      </w:r>
      <w:bookmarkEnd w:id="21"/>
    </w:p>
    <w:p>
      <w:pPr>
        <w:tabs>
          <w:tab w:val="left" w:pos="7513"/>
        </w:tabs>
        <w:adjustRightInd w:val="0"/>
        <w:snapToGrid w:val="0"/>
        <w:spacing w:line="600" w:lineRule="exact"/>
        <w:ind w:firstLine="800" w:firstLineChars="250"/>
        <w:rPr>
          <w:rFonts w:ascii="仿宋" w:hAnsi="仿宋" w:eastAsia="仿宋" w:cs="仿宋_GB2312"/>
          <w:sz w:val="32"/>
          <w:szCs w:val="32"/>
        </w:rPr>
      </w:pPr>
      <w:r>
        <w:rPr>
          <w:rFonts w:hint="eastAsia" w:ascii="仿宋" w:hAnsi="仿宋" w:eastAsia="仿宋" w:cs="仿宋_GB2312"/>
          <w:sz w:val="32"/>
          <w:szCs w:val="32"/>
        </w:rPr>
        <w:t>2023年度一般公共预算拨款基本支出2408.48万元，其中：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2251.74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156.74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4"/>
      </w:pPr>
      <w:bookmarkStart w:id="22" w:name="_Toc128561204"/>
      <w:r>
        <w:rPr>
          <w:rFonts w:hint="eastAsia"/>
        </w:rPr>
        <w:t>六、一般公共预算“三公”经费支出情况</w:t>
      </w:r>
      <w:bookmarkEnd w:id="22"/>
    </w:p>
    <w:p>
      <w:pPr>
        <w:widowControl/>
        <w:adjustRightInd w:val="0"/>
        <w:snapToGrid w:val="0"/>
        <w:spacing w:line="600" w:lineRule="exact"/>
        <w:ind w:firstLine="660"/>
        <w:rPr>
          <w:rFonts w:ascii="楷体" w:hAnsi="楷体" w:eastAsia="楷体"/>
          <w:b/>
          <w:sz w:val="32"/>
          <w:szCs w:val="32"/>
        </w:rPr>
      </w:pPr>
      <w:r>
        <w:rPr>
          <w:rFonts w:hint="eastAsia" w:ascii="楷体" w:hAnsi="楷体" w:eastAsia="楷体"/>
          <w:b/>
          <w:sz w:val="32"/>
          <w:szCs w:val="32"/>
        </w:rPr>
        <w:t>（一）因公出国（境）经费</w:t>
      </w:r>
    </w:p>
    <w:p>
      <w:pPr>
        <w:pStyle w:val="3"/>
        <w:spacing w:before="190" w:line="350" w:lineRule="auto"/>
        <w:ind w:left="120" w:right="275" w:firstLine="652"/>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2023</w:t>
      </w:r>
      <w:r>
        <w:rPr>
          <w:rFonts w:hint="eastAsia" w:ascii="仿宋" w:hAnsi="仿宋" w:eastAsia="仿宋" w:cs="宋体"/>
          <w:sz w:val="32"/>
          <w:szCs w:val="32"/>
          <w:lang w:eastAsia="zh-CN"/>
        </w:rPr>
        <w:t>年预算安排5万元，</w:t>
      </w:r>
      <w:r>
        <w:rPr>
          <w:rFonts w:hint="eastAsia" w:ascii="仿宋" w:hAnsi="仿宋" w:eastAsia="仿宋" w:cs="仿宋_GB2312"/>
          <w:sz w:val="32"/>
          <w:szCs w:val="32"/>
          <w:lang w:eastAsia="zh-CN"/>
        </w:rPr>
        <w:t>比上年增加5万元，主要原因是:根据省财政因公出国（境）有关管理要求，2022年度不批复省级单位因公出国（境）经费预算额度。</w:t>
      </w:r>
    </w:p>
    <w:p>
      <w:pPr>
        <w:widowControl/>
        <w:adjustRightInd w:val="0"/>
        <w:snapToGrid w:val="0"/>
        <w:spacing w:line="600" w:lineRule="exact"/>
        <w:ind w:firstLine="660"/>
        <w:rPr>
          <w:rFonts w:ascii="楷体" w:hAnsi="楷体" w:eastAsia="楷体"/>
          <w:b/>
          <w:sz w:val="32"/>
          <w:szCs w:val="32"/>
        </w:rPr>
      </w:pPr>
      <w:r>
        <w:rPr>
          <w:rFonts w:hint="eastAsia" w:ascii="楷体" w:hAnsi="楷体" w:eastAsia="楷体"/>
          <w:b/>
          <w:sz w:val="32"/>
          <w:szCs w:val="32"/>
        </w:rPr>
        <w:t>（二）公务接待费</w:t>
      </w:r>
    </w:p>
    <w:p>
      <w:pPr>
        <w:widowControl/>
        <w:adjustRightInd w:val="0"/>
        <w:snapToGri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2023</w:t>
      </w:r>
      <w:r>
        <w:rPr>
          <w:rFonts w:hint="eastAsia" w:ascii="仿宋" w:hAnsi="仿宋" w:eastAsia="仿宋" w:cs="宋体"/>
          <w:kern w:val="0"/>
          <w:sz w:val="32"/>
          <w:szCs w:val="32"/>
        </w:rPr>
        <w:t>年预算安排</w:t>
      </w:r>
      <w:r>
        <w:rPr>
          <w:rFonts w:hint="eastAsia" w:ascii="仿宋" w:hAnsi="仿宋" w:eastAsia="仿宋" w:cs="仿宋_GB2312"/>
          <w:kern w:val="0"/>
          <w:sz w:val="32"/>
          <w:szCs w:val="32"/>
        </w:rPr>
        <w:t>3.65</w:t>
      </w:r>
      <w:r>
        <w:rPr>
          <w:rFonts w:hint="eastAsia" w:ascii="仿宋" w:hAnsi="仿宋" w:eastAsia="仿宋" w:cs="宋体"/>
          <w:kern w:val="0"/>
          <w:sz w:val="32"/>
          <w:szCs w:val="32"/>
        </w:rPr>
        <w:t>万元，与</w:t>
      </w:r>
      <w:r>
        <w:rPr>
          <w:rFonts w:hint="eastAsia" w:ascii="仿宋" w:hAnsi="仿宋" w:eastAsia="仿宋" w:cs="仿宋_GB2312"/>
          <w:sz w:val="32"/>
          <w:szCs w:val="32"/>
        </w:rPr>
        <w:t>上年持平</w:t>
      </w:r>
      <w:r>
        <w:rPr>
          <w:rFonts w:hint="eastAsia" w:ascii="仿宋" w:hAnsi="仿宋" w:eastAsia="仿宋" w:cs="仿宋_GB2312"/>
          <w:kern w:val="0"/>
          <w:sz w:val="32"/>
          <w:szCs w:val="32"/>
        </w:rPr>
        <w:t>，</w:t>
      </w:r>
      <w:r>
        <w:rPr>
          <w:rFonts w:ascii="仿宋" w:hAnsi="仿宋" w:eastAsia="仿宋" w:cs="仿宋_GB2312"/>
          <w:kern w:val="0"/>
          <w:sz w:val="32"/>
          <w:szCs w:val="32"/>
        </w:rPr>
        <w:t>主要用于科研活动</w:t>
      </w:r>
      <w:r>
        <w:rPr>
          <w:rFonts w:hint="eastAsia" w:ascii="仿宋" w:hAnsi="仿宋" w:eastAsia="仿宋" w:cs="仿宋_GB2312"/>
          <w:kern w:val="0"/>
          <w:sz w:val="32"/>
          <w:szCs w:val="32"/>
        </w:rPr>
        <w:t>、</w:t>
      </w:r>
      <w:r>
        <w:rPr>
          <w:rFonts w:ascii="仿宋" w:hAnsi="仿宋" w:eastAsia="仿宋" w:cs="仿宋_GB2312"/>
          <w:kern w:val="0"/>
          <w:sz w:val="32"/>
          <w:szCs w:val="32"/>
        </w:rPr>
        <w:t>学术交流</w:t>
      </w:r>
      <w:r>
        <w:rPr>
          <w:rFonts w:hint="eastAsia" w:ascii="仿宋" w:hAnsi="仿宋" w:eastAsia="仿宋" w:cs="仿宋_GB2312"/>
          <w:kern w:val="0"/>
          <w:sz w:val="32"/>
          <w:szCs w:val="32"/>
        </w:rPr>
        <w:t>、科技</w:t>
      </w:r>
      <w:r>
        <w:rPr>
          <w:rFonts w:ascii="仿宋" w:hAnsi="仿宋" w:eastAsia="仿宋" w:cs="仿宋_GB2312"/>
          <w:kern w:val="0"/>
          <w:sz w:val="32"/>
          <w:szCs w:val="32"/>
        </w:rPr>
        <w:t>产业协作等方面的接待活动。</w:t>
      </w:r>
    </w:p>
    <w:p>
      <w:pPr>
        <w:widowControl/>
        <w:adjustRightInd w:val="0"/>
        <w:snapToGrid w:val="0"/>
        <w:spacing w:line="600" w:lineRule="exact"/>
        <w:ind w:firstLine="660"/>
        <w:rPr>
          <w:rFonts w:ascii="楷体" w:hAnsi="楷体" w:eastAsia="楷体"/>
          <w:b/>
          <w:sz w:val="32"/>
          <w:szCs w:val="32"/>
        </w:rPr>
      </w:pPr>
      <w:r>
        <w:rPr>
          <w:rFonts w:hint="eastAsia" w:ascii="楷体" w:hAnsi="楷体" w:eastAsia="楷体"/>
          <w:b/>
          <w:sz w:val="32"/>
          <w:szCs w:val="32"/>
        </w:rPr>
        <w:t>（三）公务用车购置及运行费</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kern w:val="0"/>
          <w:sz w:val="32"/>
          <w:szCs w:val="32"/>
        </w:rPr>
        <w:t>2023</w:t>
      </w:r>
      <w:r>
        <w:rPr>
          <w:rFonts w:hint="eastAsia" w:ascii="仿宋" w:hAnsi="仿宋" w:eastAsia="仿宋" w:cs="宋体"/>
          <w:kern w:val="0"/>
          <w:sz w:val="32"/>
          <w:szCs w:val="32"/>
        </w:rPr>
        <w:t>年预算安排</w:t>
      </w:r>
      <w:r>
        <w:rPr>
          <w:rFonts w:hint="eastAsia" w:ascii="仿宋" w:hAnsi="仿宋" w:eastAsia="仿宋" w:cs="仿宋_GB2312"/>
          <w:kern w:val="0"/>
          <w:sz w:val="32"/>
          <w:szCs w:val="32"/>
        </w:rPr>
        <w:t>8.53</w:t>
      </w:r>
      <w:r>
        <w:rPr>
          <w:rFonts w:hint="eastAsia" w:ascii="仿宋" w:hAnsi="仿宋" w:eastAsia="仿宋" w:cs="宋体"/>
          <w:kern w:val="0"/>
          <w:sz w:val="32"/>
          <w:szCs w:val="32"/>
        </w:rPr>
        <w:t>万元，与</w:t>
      </w:r>
      <w:r>
        <w:rPr>
          <w:rFonts w:hint="eastAsia" w:ascii="仿宋" w:hAnsi="仿宋" w:eastAsia="仿宋" w:cs="仿宋_GB2312"/>
          <w:sz w:val="32"/>
          <w:szCs w:val="32"/>
        </w:rPr>
        <w:t>上年持平</w:t>
      </w:r>
      <w:r>
        <w:rPr>
          <w:rFonts w:hint="eastAsia" w:ascii="仿宋" w:hAnsi="仿宋" w:eastAsia="仿宋" w:cs="仿宋_GB2312"/>
          <w:kern w:val="0"/>
          <w:sz w:val="32"/>
          <w:szCs w:val="32"/>
        </w:rPr>
        <w:t>，</w:t>
      </w:r>
      <w:r>
        <w:rPr>
          <w:rFonts w:hint="eastAsia" w:ascii="仿宋" w:hAnsi="仿宋" w:eastAsia="仿宋" w:cs="宋体"/>
          <w:kern w:val="0"/>
          <w:sz w:val="32"/>
          <w:szCs w:val="32"/>
        </w:rPr>
        <w:t>其中：公务用车运行费</w:t>
      </w:r>
      <w:r>
        <w:rPr>
          <w:rFonts w:hint="eastAsia" w:ascii="仿宋" w:hAnsi="仿宋" w:eastAsia="仿宋" w:cs="仿宋_GB2312"/>
          <w:kern w:val="0"/>
          <w:sz w:val="32"/>
          <w:szCs w:val="32"/>
        </w:rPr>
        <w:t>8.53</w:t>
      </w:r>
      <w:r>
        <w:rPr>
          <w:rFonts w:hint="eastAsia" w:ascii="仿宋" w:hAnsi="仿宋" w:eastAsia="仿宋" w:cs="宋体"/>
          <w:kern w:val="0"/>
          <w:sz w:val="32"/>
          <w:szCs w:val="32"/>
        </w:rPr>
        <w:t>万元，公务用车购置费</w:t>
      </w:r>
      <w:r>
        <w:rPr>
          <w:rFonts w:hint="eastAsia" w:ascii="仿宋" w:hAnsi="仿宋" w:eastAsia="仿宋" w:cs="仿宋_GB2312"/>
          <w:kern w:val="0"/>
          <w:sz w:val="32"/>
          <w:szCs w:val="32"/>
        </w:rPr>
        <w:t>0</w:t>
      </w:r>
      <w:r>
        <w:rPr>
          <w:rFonts w:hint="eastAsia" w:ascii="仿宋" w:hAnsi="仿宋" w:eastAsia="仿宋" w:cs="宋体"/>
          <w:kern w:val="0"/>
          <w:sz w:val="32"/>
          <w:szCs w:val="32"/>
        </w:rPr>
        <w:t>万元</w:t>
      </w:r>
      <w:r>
        <w:rPr>
          <w:rFonts w:hint="eastAsia" w:ascii="仿宋" w:hAnsi="仿宋" w:eastAsia="仿宋" w:cs="仿宋_GB2312"/>
          <w:sz w:val="32"/>
          <w:szCs w:val="32"/>
        </w:rPr>
        <w:t>。</w:t>
      </w:r>
    </w:p>
    <w:p>
      <w:pPr>
        <w:pStyle w:val="4"/>
      </w:pPr>
      <w:bookmarkStart w:id="23" w:name="_Toc128561205"/>
      <w:r>
        <w:rPr>
          <w:rFonts w:hint="eastAsia"/>
        </w:rPr>
        <w:t>七、预算绩效目标情况</w:t>
      </w:r>
      <w:bookmarkEnd w:id="23"/>
    </w:p>
    <w:p>
      <w:pPr>
        <w:spacing w:line="590" w:lineRule="exact"/>
        <w:ind w:firstLine="630" w:firstLineChars="196"/>
        <w:rPr>
          <w:rFonts w:ascii="楷体" w:hAnsi="楷体" w:eastAsia="楷体" w:cs="楷体"/>
          <w:kern w:val="0"/>
          <w:sz w:val="32"/>
          <w:szCs w:val="32"/>
        </w:rPr>
      </w:pPr>
      <w:r>
        <w:rPr>
          <w:rFonts w:hint="eastAsia" w:ascii="楷体" w:hAnsi="楷体" w:eastAsia="楷体" w:cs="楷体"/>
          <w:b/>
          <w:bCs/>
          <w:kern w:val="0"/>
          <w:sz w:val="32"/>
          <w:szCs w:val="32"/>
        </w:rPr>
        <w:t>（一）绩效目标设置情况</w:t>
      </w:r>
    </w:p>
    <w:p>
      <w:pPr>
        <w:adjustRightInd w:val="0"/>
        <w:snapToGri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2023年，本单位年初预算无项目支出绩效。</w:t>
      </w:r>
    </w:p>
    <w:p>
      <w:pPr>
        <w:spacing w:line="590" w:lineRule="exact"/>
        <w:ind w:firstLine="630" w:firstLineChars="196"/>
        <w:rPr>
          <w:rFonts w:ascii="楷体" w:hAnsi="楷体" w:eastAsia="楷体" w:cs="楷体"/>
          <w:b/>
          <w:bCs/>
          <w:kern w:val="0"/>
          <w:sz w:val="32"/>
          <w:szCs w:val="32"/>
        </w:rPr>
      </w:pPr>
      <w:r>
        <w:rPr>
          <w:rFonts w:hint="eastAsia" w:ascii="楷体" w:hAnsi="楷体" w:eastAsia="楷体" w:cs="楷体"/>
          <w:b/>
          <w:bCs/>
          <w:kern w:val="0"/>
          <w:sz w:val="32"/>
          <w:szCs w:val="32"/>
        </w:rPr>
        <w:t>（二）绩效目标表及说明</w:t>
      </w:r>
    </w:p>
    <w:p>
      <w:pPr>
        <w:spacing w:line="590" w:lineRule="exact"/>
        <w:ind w:firstLine="643" w:firstLineChars="200"/>
        <w:rPr>
          <w:rFonts w:ascii="楷体" w:hAnsi="楷体" w:eastAsia="楷体" w:cs="楷体"/>
          <w:b/>
          <w:sz w:val="32"/>
          <w:szCs w:val="32"/>
        </w:rPr>
      </w:pPr>
      <w:r>
        <w:rPr>
          <w:rFonts w:hint="eastAsia" w:ascii="楷体" w:hAnsi="楷体" w:eastAsia="楷体" w:cs="楷体"/>
          <w:b/>
          <w:sz w:val="32"/>
          <w:szCs w:val="32"/>
        </w:rPr>
        <w:t>1.项目支出绩效目标表</w:t>
      </w:r>
    </w:p>
    <w:p>
      <w:pPr>
        <w:adjustRightInd w:val="0"/>
        <w:snapToGrid w:val="0"/>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本单位无项目支出绩效目标表。</w:t>
      </w:r>
    </w:p>
    <w:p>
      <w:pPr>
        <w:spacing w:line="590" w:lineRule="exact"/>
        <w:ind w:firstLine="643" w:firstLineChars="200"/>
        <w:rPr>
          <w:rFonts w:ascii="楷体" w:hAnsi="楷体" w:eastAsia="楷体" w:cs="楷体"/>
          <w:b/>
          <w:sz w:val="32"/>
          <w:szCs w:val="32"/>
        </w:rPr>
      </w:pPr>
      <w:r>
        <w:rPr>
          <w:rFonts w:hint="eastAsia" w:ascii="楷体" w:hAnsi="楷体" w:eastAsia="楷体" w:cs="楷体"/>
          <w:b/>
          <w:sz w:val="32"/>
          <w:szCs w:val="32"/>
        </w:rPr>
        <w:t>2.有关情况说明</w:t>
      </w:r>
    </w:p>
    <w:p>
      <w:pPr>
        <w:pStyle w:val="3"/>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本单位无其他需要说明的绩效目标情况；本单位年初无发展性项目经费预算，无项目支出绩效目标表。</w:t>
      </w:r>
    </w:p>
    <w:p>
      <w:pPr>
        <w:pStyle w:val="3"/>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本单位无其他需要说明的绩效。</w:t>
      </w:r>
    </w:p>
    <w:p>
      <w:pPr>
        <w:pStyle w:val="4"/>
      </w:pPr>
      <w:bookmarkStart w:id="24" w:name="_Toc128561206"/>
      <w:r>
        <w:rPr>
          <w:rFonts w:hint="eastAsia"/>
        </w:rPr>
        <w:t>八、其他重要事项说明</w:t>
      </w:r>
      <w:bookmarkEnd w:id="24"/>
    </w:p>
    <w:p>
      <w:pPr>
        <w:spacing w:line="590" w:lineRule="exact"/>
        <w:ind w:firstLine="643" w:firstLineChars="200"/>
        <w:rPr>
          <w:rFonts w:ascii="楷体" w:hAnsi="楷体" w:eastAsia="楷体" w:cs="楷体"/>
          <w:b/>
          <w:sz w:val="32"/>
          <w:szCs w:val="32"/>
        </w:rPr>
      </w:pPr>
      <w:r>
        <w:rPr>
          <w:rFonts w:hint="eastAsia" w:ascii="楷体" w:hAnsi="楷体" w:eastAsia="楷体" w:cs="楷体"/>
          <w:b/>
          <w:sz w:val="32"/>
          <w:szCs w:val="32"/>
        </w:rPr>
        <w:t>（一）机关运行经费</w:t>
      </w:r>
    </w:p>
    <w:p>
      <w:pPr>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本单位属公益一类事业单位，本单位没有机关运行经费。</w:t>
      </w:r>
    </w:p>
    <w:p>
      <w:pPr>
        <w:spacing w:line="590" w:lineRule="exact"/>
        <w:ind w:firstLine="643" w:firstLineChars="200"/>
        <w:rPr>
          <w:rFonts w:ascii="楷体" w:hAnsi="楷体" w:eastAsia="楷体" w:cs="楷体"/>
          <w:b/>
          <w:sz w:val="32"/>
          <w:szCs w:val="32"/>
        </w:rPr>
      </w:pPr>
      <w:r>
        <w:rPr>
          <w:rFonts w:hint="eastAsia" w:ascii="楷体" w:hAnsi="楷体" w:eastAsia="楷体" w:cs="楷体"/>
          <w:b/>
          <w:sz w:val="32"/>
          <w:szCs w:val="32"/>
        </w:rPr>
        <w:t>（二）政府采购情况</w:t>
      </w:r>
    </w:p>
    <w:p>
      <w:pPr>
        <w:spacing w:line="590" w:lineRule="exact"/>
        <w:ind w:firstLine="640" w:firstLineChars="200"/>
        <w:rPr>
          <w:rFonts w:ascii="仿宋" w:hAnsi="仿宋" w:eastAsia="仿宋"/>
          <w:kern w:val="0"/>
          <w:sz w:val="32"/>
          <w:szCs w:val="32"/>
        </w:rPr>
      </w:pPr>
      <w:r>
        <w:rPr>
          <w:rFonts w:hint="eastAsia" w:ascii="仿宋" w:hAnsi="仿宋" w:eastAsia="仿宋"/>
          <w:bCs/>
          <w:sz w:val="32"/>
          <w:szCs w:val="32"/>
        </w:rPr>
        <w:t xml:space="preserve">2023年，福建省中医药科学院政府采购预算总额406.90万元，其中：政府采购货物预算84.90万元、政府采购工程预算100万元、政府采购服务预算222万元。 </w:t>
      </w:r>
      <w:r>
        <w:rPr>
          <w:rFonts w:hint="eastAsia" w:ascii="仿宋" w:hAnsi="仿宋" w:eastAsia="仿宋"/>
          <w:kern w:val="0"/>
          <w:sz w:val="32"/>
          <w:szCs w:val="32"/>
        </w:rPr>
        <w:t xml:space="preserve">                       </w:t>
      </w:r>
    </w:p>
    <w:p>
      <w:pPr>
        <w:spacing w:line="590" w:lineRule="exact"/>
        <w:ind w:firstLine="643" w:firstLineChars="200"/>
        <w:rPr>
          <w:rFonts w:ascii="楷体" w:hAnsi="楷体" w:eastAsia="楷体" w:cs="楷体"/>
          <w:b/>
          <w:sz w:val="32"/>
          <w:szCs w:val="32"/>
        </w:rPr>
      </w:pPr>
      <w:r>
        <w:rPr>
          <w:rFonts w:hint="eastAsia" w:ascii="楷体" w:hAnsi="楷体" w:eastAsia="楷体" w:cs="楷体"/>
          <w:b/>
          <w:bCs/>
          <w:kern w:val="0"/>
          <w:sz w:val="32"/>
          <w:szCs w:val="32"/>
        </w:rPr>
        <w:t>（三）</w:t>
      </w:r>
      <w:r>
        <w:rPr>
          <w:rFonts w:hint="eastAsia" w:ascii="楷体" w:hAnsi="楷体" w:eastAsia="楷体" w:cs="楷体"/>
          <w:b/>
          <w:sz w:val="32"/>
          <w:szCs w:val="32"/>
        </w:rPr>
        <w:t>国有资产占用使用情况</w:t>
      </w:r>
    </w:p>
    <w:p>
      <w:pPr>
        <w:spacing w:line="590" w:lineRule="exact"/>
        <w:ind w:firstLine="640" w:firstLineChars="200"/>
        <w:rPr>
          <w:rFonts w:ascii="仿宋" w:hAnsi="仿宋" w:eastAsia="仿宋"/>
          <w:bCs/>
          <w:sz w:val="32"/>
          <w:szCs w:val="32"/>
        </w:rPr>
      </w:pPr>
      <w:r>
        <w:rPr>
          <w:rFonts w:hint="eastAsia" w:ascii="仿宋" w:hAnsi="仿宋" w:eastAsia="仿宋"/>
          <w:bCs/>
          <w:sz w:val="32"/>
          <w:szCs w:val="32"/>
        </w:rPr>
        <w:t>截至2022年12月31日，福建省中医药科学院共有车辆3辆，其中：一般公务用车2辆、其他用车1辆。单位价值50万元以上通用设备3台（套），单位价值100万元以上专用设备0台（套）。</w:t>
      </w:r>
    </w:p>
    <w:p>
      <w:pPr>
        <w:spacing w:line="600" w:lineRule="exact"/>
        <w:ind w:firstLine="640" w:firstLineChars="200"/>
        <w:rPr>
          <w:rFonts w:ascii="仿宋" w:hAnsi="仿宋" w:eastAsia="仿宋" w:cs="仿宋_GB2312"/>
          <w:kern w:val="0"/>
          <w:sz w:val="32"/>
          <w:szCs w:val="32"/>
        </w:rPr>
      </w:pPr>
      <w:r>
        <w:rPr>
          <w:rFonts w:hint="eastAsia" w:ascii="仿宋" w:hAnsi="仿宋" w:eastAsia="仿宋" w:cs="楷体"/>
          <w:kern w:val="0"/>
          <w:sz w:val="32"/>
          <w:szCs w:val="32"/>
        </w:rPr>
        <w:t>2023年本单位预算安排购置车辆0辆；</w:t>
      </w:r>
      <w:r>
        <w:rPr>
          <w:rFonts w:hint="eastAsia" w:ascii="仿宋" w:hAnsi="仿宋" w:eastAsia="仿宋"/>
          <w:sz w:val="32"/>
          <w:szCs w:val="32"/>
        </w:rPr>
        <w:t>单位价值100万元（含）以上设备0</w:t>
      </w:r>
      <w:r>
        <w:rPr>
          <w:rFonts w:hint="eastAsia" w:ascii="仿宋" w:hAnsi="仿宋" w:eastAsia="仿宋" w:cs="仿宋_GB2312"/>
          <w:kern w:val="0"/>
          <w:sz w:val="32"/>
          <w:szCs w:val="32"/>
        </w:rPr>
        <w:t>台（套）。</w:t>
      </w:r>
    </w:p>
    <w:p>
      <w:pPr>
        <w:ind w:firstLine="640" w:firstLineChars="200"/>
        <w:rPr>
          <w:rFonts w:ascii="仿宋" w:hAnsi="仿宋" w:eastAsia="仿宋" w:cs="楷体"/>
          <w:kern w:val="0"/>
          <w:sz w:val="32"/>
          <w:szCs w:val="32"/>
        </w:rPr>
      </w:pPr>
    </w:p>
    <w:p>
      <w:pPr>
        <w:ind w:firstLine="640" w:firstLineChars="200"/>
        <w:rPr>
          <w:rFonts w:ascii="仿宋" w:hAnsi="仿宋" w:eastAsia="仿宋" w:cs="楷体"/>
          <w:kern w:val="0"/>
          <w:sz w:val="32"/>
          <w:szCs w:val="32"/>
        </w:rPr>
      </w:pPr>
    </w:p>
    <w:p>
      <w:pPr>
        <w:rPr>
          <w:rFonts w:asciiTheme="majorEastAsia" w:hAnsiTheme="majorEastAsia" w:eastAsiaTheme="majorEastAsia"/>
          <w:b/>
          <w:sz w:val="40"/>
        </w:rPr>
        <w:sectPr>
          <w:pgSz w:w="11906" w:h="16838"/>
          <w:pgMar w:top="1440" w:right="1800" w:bottom="1440" w:left="1800" w:header="851" w:footer="992" w:gutter="0"/>
          <w:cols w:space="425" w:num="1"/>
          <w:docGrid w:type="lines" w:linePitch="312" w:charSpace="0"/>
        </w:sect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pStyle w:val="2"/>
        <w:ind w:left="3080" w:hanging="3080" w:hangingChars="550"/>
      </w:pPr>
      <w:bookmarkStart w:id="25" w:name="_Toc128561207"/>
      <w:r>
        <w:rPr>
          <w:rFonts w:hint="eastAsia"/>
        </w:rPr>
        <w:t>第四部分</w:t>
      </w:r>
      <w:r>
        <w:t xml:space="preserve"> </w:t>
      </w:r>
      <w:r>
        <w:rPr>
          <w:rFonts w:hint="eastAsia"/>
        </w:rPr>
        <w:br w:type="textWrapping"/>
      </w:r>
      <w:r>
        <w:rPr>
          <w:rFonts w:hint="eastAsia"/>
        </w:rPr>
        <w:t>名词解释</w:t>
      </w:r>
      <w:bookmarkEnd w:id="25"/>
    </w:p>
    <w:p>
      <w:pPr>
        <w:jc w:val="center"/>
        <w:rPr>
          <w:rFonts w:asciiTheme="majorEastAsia" w:hAnsiTheme="majorEastAsia" w:eastAsiaTheme="majorEastAsia"/>
          <w:b/>
          <w:sz w:val="40"/>
        </w:rPr>
      </w:pPr>
    </w:p>
    <w:p>
      <w:pPr>
        <w:spacing w:line="600" w:lineRule="exact"/>
        <w:ind w:firstLine="707" w:firstLineChars="221"/>
        <w:rPr>
          <w:rFonts w:ascii="仿宋" w:hAnsi="仿宋" w:eastAsia="仿宋" w:cs="仿宋"/>
          <w:color w:val="000000"/>
          <w:kern w:val="0"/>
          <w:sz w:val="32"/>
          <w:szCs w:val="32"/>
        </w:rPr>
        <w:sectPr>
          <w:pgSz w:w="11906" w:h="16838"/>
          <w:pgMar w:top="1440" w:right="1800" w:bottom="1440" w:left="1800" w:header="851" w:footer="992" w:gutter="0"/>
          <w:cols w:space="425" w:num="1"/>
          <w:docGrid w:type="lines" w:linePitch="312" w:charSpace="0"/>
        </w:sect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三、事业单位经营收入：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五、结转结余资金：</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7"/>
        <w:spacing w:line="600" w:lineRule="exact"/>
        <w:ind w:firstLine="640"/>
        <w:rPr>
          <w:rFonts w:hAnsi="仿宋"/>
          <w:sz w:val="32"/>
          <w:szCs w:val="32"/>
        </w:rPr>
      </w:pPr>
      <w:r>
        <w:rPr>
          <w:rFonts w:hint="eastAsia" w:hAnsi="仿宋"/>
          <w:b/>
          <w:sz w:val="32"/>
          <w:szCs w:val="32"/>
        </w:rPr>
        <w:t>六、基本支出：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七、项目支出：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八、事业单位经营支出：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7"/>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指对下级单位补助发生的支出。</w:t>
      </w:r>
    </w:p>
    <w:p>
      <w:pPr>
        <w:pStyle w:val="17"/>
        <w:spacing w:line="600" w:lineRule="exact"/>
        <w:ind w:firstLine="640"/>
        <w:rPr>
          <w:rFonts w:hAnsi="仿宋"/>
          <w:sz w:val="32"/>
          <w:szCs w:val="32"/>
        </w:rPr>
      </w:pPr>
      <w:r>
        <w:rPr>
          <w:rFonts w:hint="eastAsia" w:hAnsi="仿宋"/>
          <w:b/>
          <w:sz w:val="32"/>
          <w:szCs w:val="32"/>
        </w:rPr>
        <w:t>十一、</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817497"/>
      <w:showingPlcHdr/>
    </w:sdtPr>
    <w:sdtEndPr>
      <w:rPr>
        <w:rFonts w:asciiTheme="minorEastAsia" w:hAnsiTheme="minorEastAsia"/>
        <w:sz w:val="20"/>
      </w:rPr>
    </w:sdtEndPr>
    <w:sdtContent>
      <w:p>
        <w:pPr>
          <w:pStyle w:val="6"/>
          <w:jc w:val="center"/>
        </w:pP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6658886"/>
    </w:sdtPr>
    <w:sdtEndPr>
      <w:rPr>
        <w:rFonts w:asciiTheme="minorEastAsia" w:hAnsiTheme="minorEastAsia"/>
        <w:sz w:val="20"/>
      </w:rPr>
    </w:sdtEndPr>
    <w:sdtContent>
      <w:p>
        <w:pPr>
          <w:pStyle w:val="6"/>
          <w:jc w:val="center"/>
        </w:pPr>
        <w:r>
          <w:rPr>
            <w:rFonts w:asciiTheme="minorEastAsia" w:hAnsiTheme="minorEastAsia"/>
            <w:sz w:val="20"/>
          </w:rPr>
          <w:fldChar w:fldCharType="begin"/>
        </w:r>
        <w:r>
          <w:rPr>
            <w:rFonts w:asciiTheme="minorEastAsia" w:hAnsiTheme="minorEastAsia"/>
            <w:sz w:val="20"/>
          </w:rPr>
          <w:instrText xml:space="preserve">PAGE   \* MERGEFORMAT</w:instrText>
        </w:r>
        <w:r>
          <w:rPr>
            <w:rFonts w:asciiTheme="minorEastAsia" w:hAnsiTheme="minorEastAsia"/>
            <w:sz w:val="20"/>
          </w:rPr>
          <w:fldChar w:fldCharType="separate"/>
        </w:r>
        <w:r>
          <w:rPr>
            <w:rFonts w:asciiTheme="minorEastAsia" w:hAnsiTheme="minorEastAsia"/>
            <w:sz w:val="20"/>
            <w:lang w:val="zh-CN"/>
          </w:rPr>
          <w:t>18</w:t>
        </w:r>
        <w:r>
          <w:rPr>
            <w:rFonts w:asciiTheme="minorEastAsia" w:hAnsiTheme="minorEastAsia"/>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zN2I3YWE4Yzk4MDg5NWYyMzUwM2Q2YzQ3YzI0MjEifQ=="/>
  </w:docVars>
  <w:rsids>
    <w:rsidRoot w:val="00317140"/>
    <w:rsid w:val="000137C6"/>
    <w:rsid w:val="00015F8A"/>
    <w:rsid w:val="00021833"/>
    <w:rsid w:val="00033F71"/>
    <w:rsid w:val="0003780F"/>
    <w:rsid w:val="000470A9"/>
    <w:rsid w:val="00080CC1"/>
    <w:rsid w:val="0008592D"/>
    <w:rsid w:val="00085F2B"/>
    <w:rsid w:val="00096056"/>
    <w:rsid w:val="000B35CC"/>
    <w:rsid w:val="00105219"/>
    <w:rsid w:val="001315FC"/>
    <w:rsid w:val="00134215"/>
    <w:rsid w:val="0014464B"/>
    <w:rsid w:val="00145976"/>
    <w:rsid w:val="001569B3"/>
    <w:rsid w:val="00162161"/>
    <w:rsid w:val="00167378"/>
    <w:rsid w:val="00172CC0"/>
    <w:rsid w:val="001767B3"/>
    <w:rsid w:val="001A47A7"/>
    <w:rsid w:val="001A5903"/>
    <w:rsid w:val="001B45ED"/>
    <w:rsid w:val="001D4196"/>
    <w:rsid w:val="001E2339"/>
    <w:rsid w:val="001F391B"/>
    <w:rsid w:val="002020AE"/>
    <w:rsid w:val="00221F98"/>
    <w:rsid w:val="002243EF"/>
    <w:rsid w:val="002311C9"/>
    <w:rsid w:val="00240977"/>
    <w:rsid w:val="00244E2B"/>
    <w:rsid w:val="00245FED"/>
    <w:rsid w:val="00264B96"/>
    <w:rsid w:val="00290C77"/>
    <w:rsid w:val="002B1982"/>
    <w:rsid w:val="002B699A"/>
    <w:rsid w:val="002D3F89"/>
    <w:rsid w:val="002E123F"/>
    <w:rsid w:val="002F0ECE"/>
    <w:rsid w:val="002F1995"/>
    <w:rsid w:val="002F1B6F"/>
    <w:rsid w:val="00305616"/>
    <w:rsid w:val="00311E91"/>
    <w:rsid w:val="00312014"/>
    <w:rsid w:val="00317140"/>
    <w:rsid w:val="00325DAF"/>
    <w:rsid w:val="003322AE"/>
    <w:rsid w:val="00334F93"/>
    <w:rsid w:val="00353125"/>
    <w:rsid w:val="00360D9A"/>
    <w:rsid w:val="00381D4F"/>
    <w:rsid w:val="00395B19"/>
    <w:rsid w:val="003B2C9B"/>
    <w:rsid w:val="003B798E"/>
    <w:rsid w:val="003C2183"/>
    <w:rsid w:val="00405EA3"/>
    <w:rsid w:val="00414790"/>
    <w:rsid w:val="0042125F"/>
    <w:rsid w:val="00421FB1"/>
    <w:rsid w:val="00434CBE"/>
    <w:rsid w:val="00442172"/>
    <w:rsid w:val="00445C9B"/>
    <w:rsid w:val="0044633A"/>
    <w:rsid w:val="004D696A"/>
    <w:rsid w:val="004F0B75"/>
    <w:rsid w:val="00504A24"/>
    <w:rsid w:val="005354CD"/>
    <w:rsid w:val="00535E87"/>
    <w:rsid w:val="00577AEF"/>
    <w:rsid w:val="00584849"/>
    <w:rsid w:val="005A69E4"/>
    <w:rsid w:val="005B00AC"/>
    <w:rsid w:val="005B1EBF"/>
    <w:rsid w:val="005D7140"/>
    <w:rsid w:val="00604137"/>
    <w:rsid w:val="00606548"/>
    <w:rsid w:val="00606A72"/>
    <w:rsid w:val="006354A5"/>
    <w:rsid w:val="0064301A"/>
    <w:rsid w:val="00645111"/>
    <w:rsid w:val="00696D3A"/>
    <w:rsid w:val="006A5A31"/>
    <w:rsid w:val="006B70C6"/>
    <w:rsid w:val="006C4373"/>
    <w:rsid w:val="006C4713"/>
    <w:rsid w:val="006F1EE5"/>
    <w:rsid w:val="007015F0"/>
    <w:rsid w:val="007030FB"/>
    <w:rsid w:val="00723EF2"/>
    <w:rsid w:val="00743C81"/>
    <w:rsid w:val="00753E47"/>
    <w:rsid w:val="00760DCF"/>
    <w:rsid w:val="00763A54"/>
    <w:rsid w:val="00773637"/>
    <w:rsid w:val="00775567"/>
    <w:rsid w:val="0079376A"/>
    <w:rsid w:val="007A30B9"/>
    <w:rsid w:val="007B32F9"/>
    <w:rsid w:val="007C60CF"/>
    <w:rsid w:val="007E33BA"/>
    <w:rsid w:val="00800C7B"/>
    <w:rsid w:val="00804D1C"/>
    <w:rsid w:val="008071E4"/>
    <w:rsid w:val="008519DD"/>
    <w:rsid w:val="00855527"/>
    <w:rsid w:val="0086239A"/>
    <w:rsid w:val="00872CF7"/>
    <w:rsid w:val="008763D2"/>
    <w:rsid w:val="00880C2D"/>
    <w:rsid w:val="00886FFB"/>
    <w:rsid w:val="008906D2"/>
    <w:rsid w:val="00897DA9"/>
    <w:rsid w:val="008A73C5"/>
    <w:rsid w:val="008A7421"/>
    <w:rsid w:val="008D5DFA"/>
    <w:rsid w:val="008D6F87"/>
    <w:rsid w:val="008E2336"/>
    <w:rsid w:val="008E3CBD"/>
    <w:rsid w:val="00937A03"/>
    <w:rsid w:val="0094672F"/>
    <w:rsid w:val="009739A9"/>
    <w:rsid w:val="009756CF"/>
    <w:rsid w:val="009A6226"/>
    <w:rsid w:val="009C7FB5"/>
    <w:rsid w:val="009D76A4"/>
    <w:rsid w:val="009F652D"/>
    <w:rsid w:val="00A0449D"/>
    <w:rsid w:val="00A10948"/>
    <w:rsid w:val="00A23912"/>
    <w:rsid w:val="00A36EAA"/>
    <w:rsid w:val="00A403DC"/>
    <w:rsid w:val="00A4118D"/>
    <w:rsid w:val="00A6048C"/>
    <w:rsid w:val="00A818C9"/>
    <w:rsid w:val="00A855BE"/>
    <w:rsid w:val="00AA455B"/>
    <w:rsid w:val="00AB1283"/>
    <w:rsid w:val="00AB1C5D"/>
    <w:rsid w:val="00AB691F"/>
    <w:rsid w:val="00AD7433"/>
    <w:rsid w:val="00B07727"/>
    <w:rsid w:val="00B43BCC"/>
    <w:rsid w:val="00B67551"/>
    <w:rsid w:val="00B80A6F"/>
    <w:rsid w:val="00B83C27"/>
    <w:rsid w:val="00BF7317"/>
    <w:rsid w:val="00BF786A"/>
    <w:rsid w:val="00C02DE3"/>
    <w:rsid w:val="00C16FD3"/>
    <w:rsid w:val="00C33A0A"/>
    <w:rsid w:val="00C43C36"/>
    <w:rsid w:val="00C7095D"/>
    <w:rsid w:val="00C82173"/>
    <w:rsid w:val="00C9493F"/>
    <w:rsid w:val="00CA39A1"/>
    <w:rsid w:val="00CC6B40"/>
    <w:rsid w:val="00D15C3B"/>
    <w:rsid w:val="00D208E9"/>
    <w:rsid w:val="00D4799A"/>
    <w:rsid w:val="00D95257"/>
    <w:rsid w:val="00DC7C1D"/>
    <w:rsid w:val="00DD0E76"/>
    <w:rsid w:val="00DD596A"/>
    <w:rsid w:val="00DF317E"/>
    <w:rsid w:val="00E005FB"/>
    <w:rsid w:val="00E05319"/>
    <w:rsid w:val="00E131D0"/>
    <w:rsid w:val="00E236B8"/>
    <w:rsid w:val="00E332A8"/>
    <w:rsid w:val="00E67E4C"/>
    <w:rsid w:val="00E71AA9"/>
    <w:rsid w:val="00E90672"/>
    <w:rsid w:val="00E93BA5"/>
    <w:rsid w:val="00E9659E"/>
    <w:rsid w:val="00EA0606"/>
    <w:rsid w:val="00EA2CC5"/>
    <w:rsid w:val="00ED1D1C"/>
    <w:rsid w:val="00EF3EDC"/>
    <w:rsid w:val="00F233C0"/>
    <w:rsid w:val="00F32365"/>
    <w:rsid w:val="00F3255D"/>
    <w:rsid w:val="00F32D3C"/>
    <w:rsid w:val="00F62AD2"/>
    <w:rsid w:val="00F662A4"/>
    <w:rsid w:val="00F937DA"/>
    <w:rsid w:val="00FB3D59"/>
    <w:rsid w:val="00FC4095"/>
    <w:rsid w:val="00FE616A"/>
    <w:rsid w:val="00FE6949"/>
    <w:rsid w:val="00FF7B38"/>
    <w:rsid w:val="00FF7EA0"/>
    <w:rsid w:val="01101675"/>
    <w:rsid w:val="012F5F9F"/>
    <w:rsid w:val="0159301C"/>
    <w:rsid w:val="01677721"/>
    <w:rsid w:val="017045B6"/>
    <w:rsid w:val="018C152A"/>
    <w:rsid w:val="01981B49"/>
    <w:rsid w:val="01D17772"/>
    <w:rsid w:val="02671768"/>
    <w:rsid w:val="02B32C00"/>
    <w:rsid w:val="02D228D7"/>
    <w:rsid w:val="031F2043"/>
    <w:rsid w:val="03771E7F"/>
    <w:rsid w:val="03BC690F"/>
    <w:rsid w:val="045361E0"/>
    <w:rsid w:val="04785A69"/>
    <w:rsid w:val="04787C5D"/>
    <w:rsid w:val="04B44B49"/>
    <w:rsid w:val="04CF68C0"/>
    <w:rsid w:val="050E411D"/>
    <w:rsid w:val="055C132D"/>
    <w:rsid w:val="06B81B37"/>
    <w:rsid w:val="06E67100"/>
    <w:rsid w:val="071830AE"/>
    <w:rsid w:val="07320597"/>
    <w:rsid w:val="077010BF"/>
    <w:rsid w:val="07AA0F30"/>
    <w:rsid w:val="0837398B"/>
    <w:rsid w:val="09151543"/>
    <w:rsid w:val="09365C51"/>
    <w:rsid w:val="09BE0A18"/>
    <w:rsid w:val="09FE32FC"/>
    <w:rsid w:val="0AAB2953"/>
    <w:rsid w:val="0ADF4A6F"/>
    <w:rsid w:val="0B3532C7"/>
    <w:rsid w:val="0C1534A2"/>
    <w:rsid w:val="0CE916F8"/>
    <w:rsid w:val="0CFF5294"/>
    <w:rsid w:val="0D3A1F53"/>
    <w:rsid w:val="0D6F76B9"/>
    <w:rsid w:val="0D8D2270"/>
    <w:rsid w:val="0DA10224"/>
    <w:rsid w:val="0DA70ADC"/>
    <w:rsid w:val="0DC3019B"/>
    <w:rsid w:val="0E6A7DF0"/>
    <w:rsid w:val="0E951BB9"/>
    <w:rsid w:val="0F020EF3"/>
    <w:rsid w:val="0F136F00"/>
    <w:rsid w:val="0F5C42BC"/>
    <w:rsid w:val="0F7530D7"/>
    <w:rsid w:val="0FA861BC"/>
    <w:rsid w:val="0FFC4760"/>
    <w:rsid w:val="10062488"/>
    <w:rsid w:val="101D4AC8"/>
    <w:rsid w:val="10507CE0"/>
    <w:rsid w:val="10640538"/>
    <w:rsid w:val="10BC7129"/>
    <w:rsid w:val="11360DD6"/>
    <w:rsid w:val="11DD1A47"/>
    <w:rsid w:val="11E84674"/>
    <w:rsid w:val="12006E24"/>
    <w:rsid w:val="12386C7D"/>
    <w:rsid w:val="1272572F"/>
    <w:rsid w:val="12B94888"/>
    <w:rsid w:val="12C33FA4"/>
    <w:rsid w:val="131D034D"/>
    <w:rsid w:val="13E8034D"/>
    <w:rsid w:val="143040B0"/>
    <w:rsid w:val="14A97C55"/>
    <w:rsid w:val="1558088F"/>
    <w:rsid w:val="157F6D3F"/>
    <w:rsid w:val="16414353"/>
    <w:rsid w:val="168E11C7"/>
    <w:rsid w:val="172B7D93"/>
    <w:rsid w:val="17E416FE"/>
    <w:rsid w:val="17F84EE5"/>
    <w:rsid w:val="17FB6783"/>
    <w:rsid w:val="17FF1243"/>
    <w:rsid w:val="1AE6371B"/>
    <w:rsid w:val="1B355899"/>
    <w:rsid w:val="1BC16CEB"/>
    <w:rsid w:val="1C3D55BC"/>
    <w:rsid w:val="1CAB183B"/>
    <w:rsid w:val="1CE02090"/>
    <w:rsid w:val="1D3E783E"/>
    <w:rsid w:val="1DDB508D"/>
    <w:rsid w:val="1F262635"/>
    <w:rsid w:val="1F2E5690"/>
    <w:rsid w:val="1F877DA2"/>
    <w:rsid w:val="1F922DF9"/>
    <w:rsid w:val="1FB10262"/>
    <w:rsid w:val="20234AC9"/>
    <w:rsid w:val="21086F57"/>
    <w:rsid w:val="211D776A"/>
    <w:rsid w:val="2150705A"/>
    <w:rsid w:val="21507B40"/>
    <w:rsid w:val="215D400B"/>
    <w:rsid w:val="21D94BA3"/>
    <w:rsid w:val="22590C76"/>
    <w:rsid w:val="232272BA"/>
    <w:rsid w:val="23426232"/>
    <w:rsid w:val="23952182"/>
    <w:rsid w:val="23EE3640"/>
    <w:rsid w:val="240179A7"/>
    <w:rsid w:val="240D3AC6"/>
    <w:rsid w:val="250F386E"/>
    <w:rsid w:val="25E01C4D"/>
    <w:rsid w:val="25E84813"/>
    <w:rsid w:val="260A6859"/>
    <w:rsid w:val="26D64E3E"/>
    <w:rsid w:val="26EF0324"/>
    <w:rsid w:val="271909D4"/>
    <w:rsid w:val="272C6959"/>
    <w:rsid w:val="278808C4"/>
    <w:rsid w:val="287E1436"/>
    <w:rsid w:val="289E5C6E"/>
    <w:rsid w:val="28A90F07"/>
    <w:rsid w:val="28AD5878"/>
    <w:rsid w:val="28B430AA"/>
    <w:rsid w:val="28C8445F"/>
    <w:rsid w:val="2915294F"/>
    <w:rsid w:val="29C015DB"/>
    <w:rsid w:val="2A224043"/>
    <w:rsid w:val="2A405F61"/>
    <w:rsid w:val="2B077E5A"/>
    <w:rsid w:val="2B34402E"/>
    <w:rsid w:val="2B6A7A50"/>
    <w:rsid w:val="2B886D4A"/>
    <w:rsid w:val="2BD01692"/>
    <w:rsid w:val="2C770676"/>
    <w:rsid w:val="2D590890"/>
    <w:rsid w:val="2DEB71E0"/>
    <w:rsid w:val="2DF87FF1"/>
    <w:rsid w:val="2EBF3C2B"/>
    <w:rsid w:val="2EDB3ADD"/>
    <w:rsid w:val="2F0949A8"/>
    <w:rsid w:val="2F3B1589"/>
    <w:rsid w:val="2F7361D1"/>
    <w:rsid w:val="2F8B32CF"/>
    <w:rsid w:val="2FC013DE"/>
    <w:rsid w:val="2FDA3F69"/>
    <w:rsid w:val="30BB58C0"/>
    <w:rsid w:val="30D43132"/>
    <w:rsid w:val="314F3970"/>
    <w:rsid w:val="3159421B"/>
    <w:rsid w:val="31751A69"/>
    <w:rsid w:val="31A40E89"/>
    <w:rsid w:val="31CC4FC0"/>
    <w:rsid w:val="320A5AE9"/>
    <w:rsid w:val="324975D0"/>
    <w:rsid w:val="32AA6CD9"/>
    <w:rsid w:val="338B12B3"/>
    <w:rsid w:val="33E22AAC"/>
    <w:rsid w:val="33FC5905"/>
    <w:rsid w:val="341C2EB0"/>
    <w:rsid w:val="346C4839"/>
    <w:rsid w:val="34752AAB"/>
    <w:rsid w:val="34A83397"/>
    <w:rsid w:val="351946F4"/>
    <w:rsid w:val="353478CD"/>
    <w:rsid w:val="3548554E"/>
    <w:rsid w:val="35747406"/>
    <w:rsid w:val="363B357D"/>
    <w:rsid w:val="363F7C9A"/>
    <w:rsid w:val="36C867B9"/>
    <w:rsid w:val="36EA71ED"/>
    <w:rsid w:val="371D006C"/>
    <w:rsid w:val="371E65E8"/>
    <w:rsid w:val="378C7DCF"/>
    <w:rsid w:val="37E961A0"/>
    <w:rsid w:val="380D1E8F"/>
    <w:rsid w:val="38267678"/>
    <w:rsid w:val="38871C41"/>
    <w:rsid w:val="38ED5EE9"/>
    <w:rsid w:val="39161217"/>
    <w:rsid w:val="395C6095"/>
    <w:rsid w:val="396E7383"/>
    <w:rsid w:val="3978287D"/>
    <w:rsid w:val="397F2F5C"/>
    <w:rsid w:val="39CF4635"/>
    <w:rsid w:val="3A144A89"/>
    <w:rsid w:val="3A3534D4"/>
    <w:rsid w:val="3AEC11B5"/>
    <w:rsid w:val="3AF70BD4"/>
    <w:rsid w:val="3BB70A8F"/>
    <w:rsid w:val="3BE90DE9"/>
    <w:rsid w:val="3BFC64A2"/>
    <w:rsid w:val="3CB95BEC"/>
    <w:rsid w:val="3CD353DE"/>
    <w:rsid w:val="3CF719A6"/>
    <w:rsid w:val="3D6A38DF"/>
    <w:rsid w:val="3D8175A7"/>
    <w:rsid w:val="3DAA0180"/>
    <w:rsid w:val="3DB0197A"/>
    <w:rsid w:val="3DC94AAA"/>
    <w:rsid w:val="3E5A5479"/>
    <w:rsid w:val="3E7F160D"/>
    <w:rsid w:val="3EFD0EAF"/>
    <w:rsid w:val="3F0E36DA"/>
    <w:rsid w:val="3F156E59"/>
    <w:rsid w:val="3F1C2107"/>
    <w:rsid w:val="3F1D7410"/>
    <w:rsid w:val="3F32667F"/>
    <w:rsid w:val="3F5A05A7"/>
    <w:rsid w:val="3F8E1B07"/>
    <w:rsid w:val="3FC16CBE"/>
    <w:rsid w:val="3FDE392D"/>
    <w:rsid w:val="3FE42EC7"/>
    <w:rsid w:val="3FE54B5B"/>
    <w:rsid w:val="410C362B"/>
    <w:rsid w:val="410E3FFA"/>
    <w:rsid w:val="416746E0"/>
    <w:rsid w:val="417C3506"/>
    <w:rsid w:val="41CA7043"/>
    <w:rsid w:val="41DC17EE"/>
    <w:rsid w:val="423A468D"/>
    <w:rsid w:val="42843695"/>
    <w:rsid w:val="42BD701F"/>
    <w:rsid w:val="431C6D74"/>
    <w:rsid w:val="4366315A"/>
    <w:rsid w:val="43707776"/>
    <w:rsid w:val="4389216D"/>
    <w:rsid w:val="4411434F"/>
    <w:rsid w:val="44336BFB"/>
    <w:rsid w:val="445F04C3"/>
    <w:rsid w:val="44F33C92"/>
    <w:rsid w:val="450F14A0"/>
    <w:rsid w:val="45433394"/>
    <w:rsid w:val="45B147A1"/>
    <w:rsid w:val="45CF033E"/>
    <w:rsid w:val="45D3296A"/>
    <w:rsid w:val="466A4950"/>
    <w:rsid w:val="46B66DCB"/>
    <w:rsid w:val="46FF51C9"/>
    <w:rsid w:val="478A52AA"/>
    <w:rsid w:val="488576B1"/>
    <w:rsid w:val="48DB3C1F"/>
    <w:rsid w:val="490C59BB"/>
    <w:rsid w:val="490E3CB9"/>
    <w:rsid w:val="4978082B"/>
    <w:rsid w:val="4984324F"/>
    <w:rsid w:val="4A450EF1"/>
    <w:rsid w:val="4AE922E8"/>
    <w:rsid w:val="4B221D0C"/>
    <w:rsid w:val="4B3313EB"/>
    <w:rsid w:val="4B4E6C28"/>
    <w:rsid w:val="4B5C6F5D"/>
    <w:rsid w:val="4BA72CB5"/>
    <w:rsid w:val="4BBB4BBE"/>
    <w:rsid w:val="4C8C46D6"/>
    <w:rsid w:val="4C9605B5"/>
    <w:rsid w:val="4CC1587A"/>
    <w:rsid w:val="4CCC1EC1"/>
    <w:rsid w:val="4CCE6B82"/>
    <w:rsid w:val="4CFD02CC"/>
    <w:rsid w:val="4D424BF3"/>
    <w:rsid w:val="4D5F4AE3"/>
    <w:rsid w:val="4D757384"/>
    <w:rsid w:val="4DF55447"/>
    <w:rsid w:val="4E1902F3"/>
    <w:rsid w:val="4E211863"/>
    <w:rsid w:val="4E3565CA"/>
    <w:rsid w:val="4EDA3C14"/>
    <w:rsid w:val="4F0C2A48"/>
    <w:rsid w:val="4F836BD8"/>
    <w:rsid w:val="50B91D01"/>
    <w:rsid w:val="50DD28EE"/>
    <w:rsid w:val="51493BE8"/>
    <w:rsid w:val="51762909"/>
    <w:rsid w:val="51A73DF5"/>
    <w:rsid w:val="52117FC9"/>
    <w:rsid w:val="523F73F7"/>
    <w:rsid w:val="52AD4542"/>
    <w:rsid w:val="52DE294E"/>
    <w:rsid w:val="52E141EC"/>
    <w:rsid w:val="52F63B2A"/>
    <w:rsid w:val="532D3CB8"/>
    <w:rsid w:val="535B624E"/>
    <w:rsid w:val="53F561A1"/>
    <w:rsid w:val="54040192"/>
    <w:rsid w:val="542B05EA"/>
    <w:rsid w:val="5442337F"/>
    <w:rsid w:val="550A7A2A"/>
    <w:rsid w:val="551B5793"/>
    <w:rsid w:val="55676C2B"/>
    <w:rsid w:val="557F6076"/>
    <w:rsid w:val="55825812"/>
    <w:rsid w:val="55CA0F67"/>
    <w:rsid w:val="55CE0827"/>
    <w:rsid w:val="56283375"/>
    <w:rsid w:val="56895C38"/>
    <w:rsid w:val="56942848"/>
    <w:rsid w:val="569E2C8B"/>
    <w:rsid w:val="56E532E7"/>
    <w:rsid w:val="57563275"/>
    <w:rsid w:val="57690552"/>
    <w:rsid w:val="58E45C98"/>
    <w:rsid w:val="59151F47"/>
    <w:rsid w:val="59367040"/>
    <w:rsid w:val="59486D73"/>
    <w:rsid w:val="597C5130"/>
    <w:rsid w:val="598B2A54"/>
    <w:rsid w:val="59DE1485"/>
    <w:rsid w:val="5AF9642A"/>
    <w:rsid w:val="5B423BDA"/>
    <w:rsid w:val="5B4E6926"/>
    <w:rsid w:val="5B712C63"/>
    <w:rsid w:val="5B991B08"/>
    <w:rsid w:val="5BBC04F1"/>
    <w:rsid w:val="5BCD1176"/>
    <w:rsid w:val="5BF31218"/>
    <w:rsid w:val="5C0F6237"/>
    <w:rsid w:val="5CBF559E"/>
    <w:rsid w:val="5CC436DC"/>
    <w:rsid w:val="5CC74453"/>
    <w:rsid w:val="5D5F5DB6"/>
    <w:rsid w:val="5E616F71"/>
    <w:rsid w:val="5E7D126D"/>
    <w:rsid w:val="5EAC56AE"/>
    <w:rsid w:val="5EC529C2"/>
    <w:rsid w:val="5F4B3119"/>
    <w:rsid w:val="5F81187C"/>
    <w:rsid w:val="604A517F"/>
    <w:rsid w:val="60CB2763"/>
    <w:rsid w:val="60D56A77"/>
    <w:rsid w:val="60EA6962"/>
    <w:rsid w:val="610E43FE"/>
    <w:rsid w:val="61EE64AE"/>
    <w:rsid w:val="62377985"/>
    <w:rsid w:val="62767DB9"/>
    <w:rsid w:val="62775FD3"/>
    <w:rsid w:val="62B04E62"/>
    <w:rsid w:val="630A6E47"/>
    <w:rsid w:val="637B2869"/>
    <w:rsid w:val="63A23524"/>
    <w:rsid w:val="648D1ACC"/>
    <w:rsid w:val="64E979F1"/>
    <w:rsid w:val="64F15490"/>
    <w:rsid w:val="657B5DDA"/>
    <w:rsid w:val="659A7FFB"/>
    <w:rsid w:val="66C97F5A"/>
    <w:rsid w:val="672E75A8"/>
    <w:rsid w:val="68A4599C"/>
    <w:rsid w:val="68D777CC"/>
    <w:rsid w:val="69015DDF"/>
    <w:rsid w:val="6914022D"/>
    <w:rsid w:val="69360996"/>
    <w:rsid w:val="693E784B"/>
    <w:rsid w:val="6958090C"/>
    <w:rsid w:val="697678E2"/>
    <w:rsid w:val="69B31FE7"/>
    <w:rsid w:val="69B57F34"/>
    <w:rsid w:val="6A0F5D3F"/>
    <w:rsid w:val="6AB53B3C"/>
    <w:rsid w:val="6AFE7291"/>
    <w:rsid w:val="6B0B1082"/>
    <w:rsid w:val="6B0C63F2"/>
    <w:rsid w:val="6B715851"/>
    <w:rsid w:val="6BD85D34"/>
    <w:rsid w:val="6C1B4B04"/>
    <w:rsid w:val="6C392C7F"/>
    <w:rsid w:val="6C3A079D"/>
    <w:rsid w:val="6CB85085"/>
    <w:rsid w:val="6D3B4D97"/>
    <w:rsid w:val="6DA00AD4"/>
    <w:rsid w:val="6DC4053A"/>
    <w:rsid w:val="6EB70D2E"/>
    <w:rsid w:val="6EE82BD0"/>
    <w:rsid w:val="6F3B3B23"/>
    <w:rsid w:val="6F543C50"/>
    <w:rsid w:val="6F5C5DF8"/>
    <w:rsid w:val="6FBF3CF4"/>
    <w:rsid w:val="70C62701"/>
    <w:rsid w:val="71145A61"/>
    <w:rsid w:val="71500A63"/>
    <w:rsid w:val="71545310"/>
    <w:rsid w:val="715770F9"/>
    <w:rsid w:val="717D16C8"/>
    <w:rsid w:val="71E511AB"/>
    <w:rsid w:val="720467FB"/>
    <w:rsid w:val="727067FE"/>
    <w:rsid w:val="72EC0317"/>
    <w:rsid w:val="72F571CC"/>
    <w:rsid w:val="7304661E"/>
    <w:rsid w:val="737F4EA9"/>
    <w:rsid w:val="73C9135F"/>
    <w:rsid w:val="73F230C9"/>
    <w:rsid w:val="73F456D6"/>
    <w:rsid w:val="73F60095"/>
    <w:rsid w:val="74324450"/>
    <w:rsid w:val="74365CEE"/>
    <w:rsid w:val="744C5512"/>
    <w:rsid w:val="7464244A"/>
    <w:rsid w:val="74A9567A"/>
    <w:rsid w:val="74B15375"/>
    <w:rsid w:val="74B3733F"/>
    <w:rsid w:val="74F742E1"/>
    <w:rsid w:val="751D20AF"/>
    <w:rsid w:val="753F7BF1"/>
    <w:rsid w:val="755B06A8"/>
    <w:rsid w:val="761402B1"/>
    <w:rsid w:val="761C322E"/>
    <w:rsid w:val="7639064A"/>
    <w:rsid w:val="76BC3EBD"/>
    <w:rsid w:val="77DF5F54"/>
    <w:rsid w:val="796C21B2"/>
    <w:rsid w:val="79852ECC"/>
    <w:rsid w:val="79B4167A"/>
    <w:rsid w:val="7A04063C"/>
    <w:rsid w:val="7A180532"/>
    <w:rsid w:val="7B9E797E"/>
    <w:rsid w:val="7C633372"/>
    <w:rsid w:val="7CC12815"/>
    <w:rsid w:val="7D083FA0"/>
    <w:rsid w:val="7D2D5FAA"/>
    <w:rsid w:val="7D366D5F"/>
    <w:rsid w:val="7DB67EA0"/>
    <w:rsid w:val="7E6069FF"/>
    <w:rsid w:val="7FD47446"/>
    <w:rsid w:val="7FE24183"/>
    <w:rsid w:val="7FF57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20"/>
    <w:qFormat/>
    <w:uiPriority w:val="9"/>
    <w:pPr>
      <w:outlineLvl w:val="0"/>
    </w:pPr>
    <w:rPr>
      <w:rFonts w:ascii="黑体" w:hAnsi="黑体" w:eastAsia="黑体"/>
      <w:sz w:val="56"/>
      <w:szCs w:val="36"/>
      <w:lang w:eastAsia="zh-CN"/>
    </w:rPr>
  </w:style>
  <w:style w:type="paragraph" w:styleId="4">
    <w:name w:val="heading 2"/>
    <w:basedOn w:val="3"/>
    <w:next w:val="1"/>
    <w:link w:val="21"/>
    <w:unhideWhenUsed/>
    <w:qFormat/>
    <w:uiPriority w:val="9"/>
    <w:pPr>
      <w:outlineLvl w:val="1"/>
    </w:pPr>
    <w:rPr>
      <w:rFonts w:ascii="黑体" w:hAnsi="黑体" w:eastAsia="黑体" w:cstheme="minorBidi"/>
      <w:kern w:val="2"/>
      <w:sz w:val="32"/>
      <w:szCs w:val="32"/>
      <w:lang w:eastAsia="zh-CN"/>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5">
    <w:name w:val="Balloon Text"/>
    <w:basedOn w:val="1"/>
    <w:link w:val="16"/>
    <w:unhideWhenUsed/>
    <w:qFormat/>
    <w:uiPriority w:val="99"/>
    <w:pPr>
      <w:spacing w:line="240" w:lineRule="auto"/>
    </w:pPr>
    <w:rPr>
      <w:sz w:val="18"/>
      <w:szCs w:val="18"/>
    </w:rPr>
  </w:style>
  <w:style w:type="paragraph" w:styleId="6">
    <w:name w:val="footer"/>
    <w:basedOn w:val="1"/>
    <w:link w:val="14"/>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toc 1"/>
    <w:basedOn w:val="3"/>
    <w:next w:val="1"/>
    <w:unhideWhenUsed/>
    <w:qFormat/>
    <w:uiPriority w:val="39"/>
    <w:rPr>
      <w:rFonts w:ascii="仿宋" w:hAnsi="仿宋" w:eastAsia="仿宋"/>
      <w:b/>
      <w:sz w:val="36"/>
      <w:lang w:eastAsia="zh-CN"/>
    </w:rPr>
  </w:style>
  <w:style w:type="paragraph" w:styleId="9">
    <w:name w:val="toc 2"/>
    <w:basedOn w:val="3"/>
    <w:next w:val="1"/>
    <w:unhideWhenUsed/>
    <w:qFormat/>
    <w:uiPriority w:val="39"/>
    <w:pPr>
      <w:ind w:firstLine="360" w:firstLineChars="100"/>
    </w:pPr>
    <w:rPr>
      <w:rFonts w:ascii="仿宋" w:hAnsi="仿宋" w:eastAsia="仿宋"/>
      <w:sz w:val="36"/>
      <w:lang w:eastAsia="zh-CN"/>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character" w:customStyle="1" w:styleId="15">
    <w:name w:val="正文文本 Char"/>
    <w:basedOn w:val="11"/>
    <w:link w:val="3"/>
    <w:qFormat/>
    <w:uiPriority w:val="1"/>
    <w:rPr>
      <w:rFonts w:ascii="Times New Roman" w:hAnsi="Times New Roman" w:eastAsia="Times New Roman" w:cs="Times New Roman"/>
      <w:kern w:val="0"/>
      <w:sz w:val="20"/>
      <w:szCs w:val="20"/>
      <w:lang w:eastAsia="en-US"/>
    </w:rPr>
  </w:style>
  <w:style w:type="character" w:customStyle="1" w:styleId="16">
    <w:name w:val="批注框文本 Char"/>
    <w:basedOn w:val="11"/>
    <w:link w:val="5"/>
    <w:semiHidden/>
    <w:qFormat/>
    <w:uiPriority w:val="99"/>
    <w:rPr>
      <w:sz w:val="18"/>
      <w:szCs w:val="18"/>
    </w:rPr>
  </w:style>
  <w:style w:type="paragraph" w:customStyle="1" w:styleId="17">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8">
    <w:name w:val="列出段落1"/>
    <w:basedOn w:val="1"/>
    <w:qFormat/>
    <w:uiPriority w:val="34"/>
    <w:pPr>
      <w:ind w:firstLine="420" w:firstLineChars="200"/>
    </w:pPr>
  </w:style>
  <w:style w:type="paragraph" w:styleId="19">
    <w:name w:val="List Paragraph"/>
    <w:basedOn w:val="1"/>
    <w:unhideWhenUsed/>
    <w:qFormat/>
    <w:uiPriority w:val="99"/>
    <w:pPr>
      <w:ind w:firstLine="420" w:firstLineChars="200"/>
    </w:pPr>
  </w:style>
  <w:style w:type="character" w:customStyle="1" w:styleId="20">
    <w:name w:val="标题 1 Char"/>
    <w:basedOn w:val="11"/>
    <w:link w:val="2"/>
    <w:qFormat/>
    <w:uiPriority w:val="9"/>
    <w:rPr>
      <w:rFonts w:ascii="黑体" w:hAnsi="黑体" w:eastAsia="黑体"/>
      <w:sz w:val="56"/>
      <w:szCs w:val="36"/>
    </w:rPr>
  </w:style>
  <w:style w:type="character" w:customStyle="1" w:styleId="21">
    <w:name w:val="标题 2 Char"/>
    <w:basedOn w:val="11"/>
    <w:link w:val="4"/>
    <w:qFormat/>
    <w:uiPriority w:val="9"/>
    <w:rPr>
      <w:rFonts w:ascii="黑体" w:hAnsi="黑体" w:eastAsia="黑体" w:cstheme="minorBidi"/>
      <w:kern w:val="2"/>
      <w:sz w:val="32"/>
      <w:szCs w:val="32"/>
    </w:rPr>
  </w:style>
  <w:style w:type="paragraph" w:customStyle="1" w:styleId="22">
    <w:name w:val="TOC 标题1"/>
    <w:basedOn w:val="3"/>
    <w:next w:val="1"/>
    <w:unhideWhenUsed/>
    <w:qFormat/>
    <w:uiPriority w:val="39"/>
    <w:pPr>
      <w:jc w:val="center"/>
    </w:pPr>
    <w:rPr>
      <w:rFonts w:ascii="方正小标宋简体" w:eastAsia="方正小标宋简体" w:hAnsiTheme="majorEastAsia"/>
      <w:sz w:val="44"/>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388A-28C1-4063-9159-BF821AD10C8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6166</Words>
  <Characters>7754</Characters>
  <Lines>79</Lines>
  <Paragraphs>22</Paragraphs>
  <TotalTime>1</TotalTime>
  <ScaleCrop>false</ScaleCrop>
  <LinksUpToDate>false</LinksUpToDate>
  <CharactersWithSpaces>8065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Administrator</cp:lastModifiedBy>
  <cp:lastPrinted>2023-01-03T09:16:00Z</cp:lastPrinted>
  <dcterms:modified xsi:type="dcterms:W3CDTF">2023-03-01T08:45:10Z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D491F7876AE242D39781D66F110A8E2A</vt:lpwstr>
  </property>
</Properties>
</file>